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5E27D" w14:textId="5F630597" w:rsidR="00E12619" w:rsidRP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noProof/>
          <w:kern w:val="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58F8A" wp14:editId="6CEF1F39">
                <wp:simplePos x="0" y="0"/>
                <wp:positionH relativeFrom="margin">
                  <wp:posOffset>13335</wp:posOffset>
                </wp:positionH>
                <wp:positionV relativeFrom="paragraph">
                  <wp:posOffset>-46545</wp:posOffset>
                </wp:positionV>
                <wp:extent cx="5702300" cy="6350"/>
                <wp:effectExtent l="0" t="0" r="31750" b="31750"/>
                <wp:wrapNone/>
                <wp:docPr id="2002140215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line w14:anchorId="2AF8E8B3" id="Přímá spojnice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.05pt,-3.65pt" to="450.05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65BA8">
        <w:rPr>
          <w:rFonts w:ascii="Garamond" w:eastAsia="Thoth-Unicode" w:hAnsi="Garamond" w:cs="Thoth-Unicode"/>
          <w:b/>
          <w:bCs/>
          <w:kern w:val="0"/>
          <w:sz w:val="32"/>
          <w:szCs w:val="28"/>
        </w:rPr>
        <w:t xml:space="preserve">RÁMCOVÁ </w:t>
      </w:r>
      <w:r w:rsidRPr="00E12619">
        <w:rPr>
          <w:rFonts w:ascii="Garamond" w:eastAsia="Thoth-Unicode" w:hAnsi="Garamond" w:cs="Thoth-Unicode"/>
          <w:b/>
          <w:bCs/>
          <w:kern w:val="0"/>
          <w:sz w:val="32"/>
          <w:szCs w:val="28"/>
        </w:rPr>
        <w:t>SMLOUVA O DÍLO</w:t>
      </w:r>
    </w:p>
    <w:p w14:paraId="71568676" w14:textId="6EE1A6FD" w:rsidR="006B52D5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uzavřená 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 xml:space="preserve">podle § 2586 a násl. občanského zákoníku, </w:t>
      </w:r>
      <w:r>
        <w:rPr>
          <w:rFonts w:ascii="Garamond" w:eastAsia="Thoth-Unicode" w:hAnsi="Garamond" w:cs="Thoth-Unicode"/>
          <w:kern w:val="0"/>
          <w:sz w:val="24"/>
          <w:szCs w:val="24"/>
        </w:rPr>
        <w:br/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mezi 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že uvedenými smluvními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stranami</w:t>
      </w:r>
    </w:p>
    <w:p w14:paraId="319CB0F3" w14:textId="61D02D79" w:rsidR="00E12619" w:rsidRDefault="00F92A1C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noProof/>
          <w:kern w:val="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DB38D" wp14:editId="7A3B194E">
                <wp:simplePos x="0" y="0"/>
                <wp:positionH relativeFrom="column">
                  <wp:posOffset>-4445</wp:posOffset>
                </wp:positionH>
                <wp:positionV relativeFrom="paragraph">
                  <wp:posOffset>25845</wp:posOffset>
                </wp:positionV>
                <wp:extent cx="5702300" cy="6350"/>
                <wp:effectExtent l="0" t="0" r="31750" b="31750"/>
                <wp:wrapNone/>
                <wp:docPr id="46073478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line w14:anchorId="1B9AB795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2.05pt" to="448.6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8217" w:type="dxa"/>
        <w:tblInd w:w="0" w:type="dxa"/>
        <w:tblLook w:val="04A0" w:firstRow="1" w:lastRow="0" w:firstColumn="1" w:lastColumn="0" w:noHBand="0" w:noVBand="1"/>
      </w:tblPr>
      <w:tblGrid>
        <w:gridCol w:w="4184"/>
        <w:gridCol w:w="4033"/>
      </w:tblGrid>
      <w:tr w:rsidR="00E12619" w:rsidRPr="00B512AE" w14:paraId="2343D37A" w14:textId="77777777" w:rsidTr="00B45B7B">
        <w:trPr>
          <w:trHeight w:val="284"/>
        </w:trPr>
        <w:tc>
          <w:tcPr>
            <w:tcW w:w="4184" w:type="dxa"/>
            <w:vAlign w:val="bottom"/>
          </w:tcPr>
          <w:p w14:paraId="73613D3E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</w:rPr>
              <w:t xml:space="preserve">Název:  </w:t>
            </w:r>
          </w:p>
        </w:tc>
        <w:tc>
          <w:tcPr>
            <w:tcW w:w="4033" w:type="dxa"/>
            <w:vAlign w:val="bottom"/>
          </w:tcPr>
          <w:p w14:paraId="747763FD" w14:textId="77777777" w:rsidR="00E12619" w:rsidRPr="00B512AE" w:rsidRDefault="00E12619" w:rsidP="00B45B7B">
            <w:pPr>
              <w:ind w:right="-144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Nemocnice Znojmo, příspěvková organizace</w:t>
            </w:r>
          </w:p>
        </w:tc>
      </w:tr>
      <w:tr w:rsidR="00E12619" w:rsidRPr="00B512AE" w14:paraId="0B4BAE28" w14:textId="77777777" w:rsidTr="00B45B7B">
        <w:trPr>
          <w:trHeight w:val="284"/>
        </w:trPr>
        <w:tc>
          <w:tcPr>
            <w:tcW w:w="4184" w:type="dxa"/>
          </w:tcPr>
          <w:p w14:paraId="7C14BED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Sídlo:</w:t>
            </w:r>
          </w:p>
        </w:tc>
        <w:tc>
          <w:tcPr>
            <w:tcW w:w="4033" w:type="dxa"/>
          </w:tcPr>
          <w:p w14:paraId="42E94D6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Jana Janského 11, 669 02 Znojmo</w:t>
            </w:r>
          </w:p>
        </w:tc>
      </w:tr>
      <w:tr w:rsidR="00E12619" w:rsidRPr="00B512AE" w14:paraId="1C123AF3" w14:textId="77777777" w:rsidTr="00B45B7B">
        <w:trPr>
          <w:trHeight w:val="284"/>
        </w:trPr>
        <w:tc>
          <w:tcPr>
            <w:tcW w:w="4184" w:type="dxa"/>
          </w:tcPr>
          <w:p w14:paraId="7164F56B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Zastoupena:</w:t>
            </w:r>
          </w:p>
        </w:tc>
        <w:tc>
          <w:tcPr>
            <w:tcW w:w="4033" w:type="dxa"/>
          </w:tcPr>
          <w:p w14:paraId="4927EF4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Miroslavem Kavkou, MBA, ředitelem</w:t>
            </w:r>
          </w:p>
        </w:tc>
      </w:tr>
      <w:tr w:rsidR="00E12619" w:rsidRPr="00B512AE" w14:paraId="659E7802" w14:textId="77777777" w:rsidTr="00B45B7B">
        <w:trPr>
          <w:trHeight w:val="284"/>
        </w:trPr>
        <w:tc>
          <w:tcPr>
            <w:tcW w:w="4184" w:type="dxa"/>
          </w:tcPr>
          <w:p w14:paraId="026C47C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IČ:</w:t>
            </w:r>
          </w:p>
          <w:p w14:paraId="0F0B8746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DIČ:</w:t>
            </w:r>
          </w:p>
        </w:tc>
        <w:tc>
          <w:tcPr>
            <w:tcW w:w="4033" w:type="dxa"/>
          </w:tcPr>
          <w:p w14:paraId="48514F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00092584</w:t>
            </w:r>
          </w:p>
          <w:p w14:paraId="725C9A75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CZ00092584 </w:t>
            </w:r>
          </w:p>
        </w:tc>
      </w:tr>
      <w:tr w:rsidR="00E12619" w:rsidRPr="00B512AE" w14:paraId="38DD2BBA" w14:textId="77777777" w:rsidTr="00B45B7B">
        <w:trPr>
          <w:trHeight w:val="284"/>
        </w:trPr>
        <w:tc>
          <w:tcPr>
            <w:tcW w:w="4184" w:type="dxa"/>
          </w:tcPr>
          <w:p w14:paraId="0B6EC829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Bankovní spojení:</w:t>
            </w:r>
          </w:p>
        </w:tc>
        <w:tc>
          <w:tcPr>
            <w:tcW w:w="4033" w:type="dxa"/>
          </w:tcPr>
          <w:p w14:paraId="340181C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Komerční banka a. s.</w:t>
            </w:r>
          </w:p>
        </w:tc>
      </w:tr>
      <w:tr w:rsidR="00E12619" w:rsidRPr="00B512AE" w14:paraId="51845144" w14:textId="77777777" w:rsidTr="00B45B7B">
        <w:trPr>
          <w:trHeight w:val="284"/>
        </w:trPr>
        <w:tc>
          <w:tcPr>
            <w:tcW w:w="4184" w:type="dxa"/>
          </w:tcPr>
          <w:p w14:paraId="17E3566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Číslo účtu:</w:t>
            </w:r>
          </w:p>
        </w:tc>
        <w:tc>
          <w:tcPr>
            <w:tcW w:w="4033" w:type="dxa"/>
          </w:tcPr>
          <w:p w14:paraId="0775E9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14538-741/0100</w:t>
            </w:r>
          </w:p>
        </w:tc>
      </w:tr>
      <w:tr w:rsidR="00E12619" w:rsidRPr="002852B3" w14:paraId="5838B654" w14:textId="77777777" w:rsidTr="00B45B7B">
        <w:trPr>
          <w:trHeight w:val="284"/>
        </w:trPr>
        <w:tc>
          <w:tcPr>
            <w:tcW w:w="4184" w:type="dxa"/>
          </w:tcPr>
          <w:p w14:paraId="5C2E882D" w14:textId="77777777" w:rsidR="00E12619" w:rsidRPr="002852B3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2852B3">
              <w:rPr>
                <w:rFonts w:ascii="Garamond" w:hAnsi="Garamond"/>
                <w:sz w:val="24"/>
                <w:szCs w:val="24"/>
              </w:rPr>
              <w:t>Osoba oprávněná k jednáním</w:t>
            </w:r>
          </w:p>
          <w:p w14:paraId="002B0476" w14:textId="77777777" w:rsidR="00E12619" w:rsidRPr="002852B3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2852B3">
              <w:rPr>
                <w:rFonts w:ascii="Garamond" w:hAnsi="Garamond"/>
                <w:sz w:val="24"/>
                <w:szCs w:val="24"/>
              </w:rPr>
              <w:t>ve věcech technických:</w:t>
            </w:r>
          </w:p>
        </w:tc>
        <w:tc>
          <w:tcPr>
            <w:tcW w:w="4033" w:type="dxa"/>
            <w:vAlign w:val="bottom"/>
          </w:tcPr>
          <w:p w14:paraId="0D56DBBE" w14:textId="184F0EF3" w:rsidR="00E12619" w:rsidRPr="002852B3" w:rsidRDefault="008F5347" w:rsidP="00B45B7B">
            <w:pPr>
              <w:rPr>
                <w:rFonts w:ascii="Garamond" w:hAnsi="Garamond"/>
                <w:sz w:val="24"/>
                <w:szCs w:val="24"/>
              </w:rPr>
            </w:pPr>
            <w:r w:rsidRPr="002852B3">
              <w:rPr>
                <w:rFonts w:ascii="Garamond" w:hAnsi="Garamond"/>
                <w:sz w:val="24"/>
                <w:szCs w:val="24"/>
              </w:rPr>
              <w:t>MUDr. Pavel Jajtner</w:t>
            </w:r>
            <w:r w:rsidR="00290524" w:rsidRPr="002852B3">
              <w:rPr>
                <w:rFonts w:ascii="Garamond" w:hAnsi="Garamond"/>
                <w:sz w:val="24"/>
                <w:szCs w:val="24"/>
              </w:rPr>
              <w:t>, MBA</w:t>
            </w:r>
          </w:p>
        </w:tc>
      </w:tr>
      <w:tr w:rsidR="00E12619" w:rsidRPr="00B512AE" w14:paraId="4A9AB370" w14:textId="77777777" w:rsidTr="00B45B7B">
        <w:trPr>
          <w:trHeight w:val="284"/>
        </w:trPr>
        <w:tc>
          <w:tcPr>
            <w:tcW w:w="4184" w:type="dxa"/>
          </w:tcPr>
          <w:p w14:paraId="47944FCF" w14:textId="77777777" w:rsidR="00E12619" w:rsidRPr="002852B3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2852B3">
              <w:rPr>
                <w:rFonts w:ascii="Garamond" w:hAnsi="Garamond"/>
                <w:sz w:val="24"/>
                <w:szCs w:val="24"/>
              </w:rPr>
              <w:t>Telefonické a e-mailové spojení:</w:t>
            </w:r>
          </w:p>
        </w:tc>
        <w:tc>
          <w:tcPr>
            <w:tcW w:w="4033" w:type="dxa"/>
            <w:vAlign w:val="bottom"/>
          </w:tcPr>
          <w:p w14:paraId="1FC6A200" w14:textId="7E9BB2A5" w:rsidR="00E12619" w:rsidRPr="002852B3" w:rsidRDefault="00290524" w:rsidP="00B45B7B">
            <w:pPr>
              <w:rPr>
                <w:rFonts w:ascii="Garamond" w:hAnsi="Garamond"/>
                <w:sz w:val="24"/>
                <w:szCs w:val="24"/>
              </w:rPr>
            </w:pPr>
            <w:r w:rsidRPr="002852B3">
              <w:rPr>
                <w:rFonts w:ascii="Garamond" w:hAnsi="Garamond"/>
                <w:sz w:val="24"/>
                <w:szCs w:val="24"/>
              </w:rPr>
              <w:t xml:space="preserve">515 215 209 </w:t>
            </w:r>
          </w:p>
          <w:p w14:paraId="22419FC3" w14:textId="468A59FC" w:rsidR="00E12619" w:rsidRPr="00B512AE" w:rsidRDefault="00965802" w:rsidP="00B45B7B">
            <w:pPr>
              <w:rPr>
                <w:rFonts w:ascii="Garamond" w:hAnsi="Garamond"/>
                <w:sz w:val="24"/>
                <w:szCs w:val="24"/>
              </w:rPr>
            </w:pPr>
            <w:hyperlink r:id="rId7" w:history="1">
              <w:r w:rsidR="00E208D4" w:rsidRPr="002852B3">
                <w:rPr>
                  <w:rStyle w:val="Hypertextovodkaz"/>
                  <w:rFonts w:ascii="Garamond" w:hAnsi="Garamond"/>
                  <w:sz w:val="24"/>
                  <w:szCs w:val="24"/>
                </w:rPr>
                <w:t>pavel.jajtner@nemzn.cz</w:t>
              </w:r>
            </w:hyperlink>
            <w:r w:rsidR="00E208D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E12619" w:rsidRPr="00B512AE" w14:paraId="4F561ED9" w14:textId="77777777" w:rsidTr="00B45B7B">
        <w:trPr>
          <w:trHeight w:val="284"/>
        </w:trPr>
        <w:tc>
          <w:tcPr>
            <w:tcW w:w="4184" w:type="dxa"/>
          </w:tcPr>
          <w:p w14:paraId="2BE2A0FC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Adresa pro doručování </w:t>
            </w:r>
          </w:p>
          <w:p w14:paraId="3046C076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korespondence:</w:t>
            </w:r>
          </w:p>
        </w:tc>
        <w:tc>
          <w:tcPr>
            <w:tcW w:w="4033" w:type="dxa"/>
          </w:tcPr>
          <w:p w14:paraId="25522B5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Jana Janského 11</w:t>
            </w:r>
          </w:p>
          <w:p w14:paraId="5C554C1F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669 02 Znojmo</w:t>
            </w:r>
          </w:p>
        </w:tc>
      </w:tr>
      <w:tr w:rsidR="007F26F2" w:rsidRPr="00B512AE" w14:paraId="5505D319" w14:textId="77777777" w:rsidTr="00283F92">
        <w:trPr>
          <w:trHeight w:val="284"/>
        </w:trPr>
        <w:tc>
          <w:tcPr>
            <w:tcW w:w="8217" w:type="dxa"/>
            <w:gridSpan w:val="2"/>
            <w:vAlign w:val="center"/>
          </w:tcPr>
          <w:p w14:paraId="145D294B" w14:textId="3C327860" w:rsidR="007F26F2" w:rsidRPr="00B512AE" w:rsidRDefault="007F26F2" w:rsidP="007F26F2">
            <w:pPr>
              <w:spacing w:before="200" w:after="120" w:line="120" w:lineRule="auto"/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„objednatel“)</w:t>
            </w:r>
          </w:p>
        </w:tc>
      </w:tr>
      <w:tr w:rsidR="007F26F2" w:rsidRPr="00B512AE" w14:paraId="648EEBC9" w14:textId="77777777" w:rsidTr="00283F92">
        <w:trPr>
          <w:trHeight w:val="284"/>
        </w:trPr>
        <w:tc>
          <w:tcPr>
            <w:tcW w:w="8217" w:type="dxa"/>
            <w:gridSpan w:val="2"/>
            <w:vAlign w:val="center"/>
          </w:tcPr>
          <w:p w14:paraId="7733D5A3" w14:textId="77777777" w:rsidR="007F26F2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a</w:t>
            </w:r>
          </w:p>
          <w:p w14:paraId="13A2B88E" w14:textId="7740C86C" w:rsidR="007F26F2" w:rsidRPr="00B512AE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E12619" w:rsidRPr="00B512AE" w14:paraId="6E4EF91D" w14:textId="77777777" w:rsidTr="00B45B7B">
        <w:trPr>
          <w:trHeight w:val="284"/>
        </w:trPr>
        <w:tc>
          <w:tcPr>
            <w:tcW w:w="4184" w:type="dxa"/>
          </w:tcPr>
          <w:p w14:paraId="5B805067" w14:textId="77777777" w:rsidR="00E12619" w:rsidRPr="00B512AE" w:rsidRDefault="00E12619" w:rsidP="00B512AE">
            <w:pPr>
              <w:spacing w:after="16" w:line="249" w:lineRule="auto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Název</w:t>
            </w:r>
          </w:p>
        </w:tc>
        <w:tc>
          <w:tcPr>
            <w:tcW w:w="4033" w:type="dxa"/>
          </w:tcPr>
          <w:p w14:paraId="649975F4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0" w:name="_Hlk162258537"/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………………………………….</w:t>
            </w:r>
            <w:bookmarkEnd w:id="0"/>
          </w:p>
        </w:tc>
      </w:tr>
      <w:tr w:rsidR="00E12619" w:rsidRPr="00B512AE" w14:paraId="5851F1E8" w14:textId="77777777" w:rsidTr="00B45B7B">
        <w:trPr>
          <w:trHeight w:val="284"/>
        </w:trPr>
        <w:tc>
          <w:tcPr>
            <w:tcW w:w="4184" w:type="dxa"/>
          </w:tcPr>
          <w:p w14:paraId="66B7C7D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1" w:name="_Hlk162258551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033" w:type="dxa"/>
          </w:tcPr>
          <w:p w14:paraId="3379878D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……………………………………..</w:t>
            </w:r>
          </w:p>
        </w:tc>
      </w:tr>
      <w:bookmarkEnd w:id="1"/>
      <w:tr w:rsidR="00E12619" w:rsidRPr="00B512AE" w14:paraId="6C83935E" w14:textId="77777777" w:rsidTr="00B45B7B">
        <w:trPr>
          <w:trHeight w:val="284"/>
        </w:trPr>
        <w:tc>
          <w:tcPr>
            <w:tcW w:w="4184" w:type="dxa"/>
          </w:tcPr>
          <w:p w14:paraId="5ABA2846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Zastoupena:</w:t>
            </w:r>
          </w:p>
        </w:tc>
        <w:tc>
          <w:tcPr>
            <w:tcW w:w="4033" w:type="dxa"/>
          </w:tcPr>
          <w:p w14:paraId="32A7DAD9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……………………………….</w:t>
            </w:r>
          </w:p>
        </w:tc>
      </w:tr>
      <w:tr w:rsidR="00E12619" w:rsidRPr="00B512AE" w14:paraId="024A7601" w14:textId="77777777" w:rsidTr="00B45B7B">
        <w:trPr>
          <w:trHeight w:val="284"/>
        </w:trPr>
        <w:tc>
          <w:tcPr>
            <w:tcW w:w="4184" w:type="dxa"/>
          </w:tcPr>
          <w:p w14:paraId="0EB9638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033" w:type="dxa"/>
          </w:tcPr>
          <w:p w14:paraId="792B0422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bookmarkStart w:id="2" w:name="_Hlk162258572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</w:t>
            </w:r>
            <w:bookmarkEnd w:id="2"/>
          </w:p>
        </w:tc>
      </w:tr>
      <w:tr w:rsidR="00E12619" w:rsidRPr="00B512AE" w14:paraId="1C4D8834" w14:textId="77777777" w:rsidTr="00B45B7B">
        <w:trPr>
          <w:trHeight w:val="284"/>
        </w:trPr>
        <w:tc>
          <w:tcPr>
            <w:tcW w:w="4184" w:type="dxa"/>
          </w:tcPr>
          <w:p w14:paraId="7D9DBC55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033" w:type="dxa"/>
          </w:tcPr>
          <w:p w14:paraId="274EFD0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…………………………………..</w:t>
            </w:r>
          </w:p>
        </w:tc>
      </w:tr>
      <w:tr w:rsidR="00E12619" w:rsidRPr="00B512AE" w14:paraId="764B37E2" w14:textId="77777777" w:rsidTr="00B45B7B">
        <w:trPr>
          <w:trHeight w:val="284"/>
        </w:trPr>
        <w:tc>
          <w:tcPr>
            <w:tcW w:w="4184" w:type="dxa"/>
          </w:tcPr>
          <w:p w14:paraId="656EEF22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Bankovní spojení:</w:t>
            </w:r>
          </w:p>
        </w:tc>
        <w:tc>
          <w:tcPr>
            <w:tcW w:w="4033" w:type="dxa"/>
          </w:tcPr>
          <w:p w14:paraId="6BD8C6B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</w:t>
            </w:r>
          </w:p>
        </w:tc>
      </w:tr>
      <w:tr w:rsidR="00E12619" w:rsidRPr="00B512AE" w14:paraId="7B04C3CA" w14:textId="77777777" w:rsidTr="00B45B7B">
        <w:trPr>
          <w:trHeight w:val="284"/>
        </w:trPr>
        <w:tc>
          <w:tcPr>
            <w:tcW w:w="4184" w:type="dxa"/>
          </w:tcPr>
          <w:p w14:paraId="3EABD34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Číslo účtu:</w:t>
            </w:r>
          </w:p>
          <w:p w14:paraId="60D6616D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Osoba oprávněná k jednáním</w:t>
            </w:r>
          </w:p>
        </w:tc>
        <w:tc>
          <w:tcPr>
            <w:tcW w:w="4033" w:type="dxa"/>
          </w:tcPr>
          <w:p w14:paraId="1B6489B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…………………………..</w:t>
            </w:r>
          </w:p>
        </w:tc>
      </w:tr>
      <w:tr w:rsidR="00E12619" w:rsidRPr="00B512AE" w14:paraId="4A9AD76A" w14:textId="77777777" w:rsidTr="00B45B7B">
        <w:trPr>
          <w:trHeight w:val="284"/>
        </w:trPr>
        <w:tc>
          <w:tcPr>
            <w:tcW w:w="4184" w:type="dxa"/>
          </w:tcPr>
          <w:p w14:paraId="00D81C1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ve věcech technických:</w:t>
            </w:r>
          </w:p>
        </w:tc>
        <w:tc>
          <w:tcPr>
            <w:tcW w:w="4033" w:type="dxa"/>
          </w:tcPr>
          <w:p w14:paraId="7DB9591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</w:t>
            </w:r>
          </w:p>
        </w:tc>
      </w:tr>
      <w:tr w:rsidR="00E12619" w:rsidRPr="00B512AE" w14:paraId="586CB10A" w14:textId="77777777" w:rsidTr="00B45B7B">
        <w:trPr>
          <w:trHeight w:val="284"/>
        </w:trPr>
        <w:tc>
          <w:tcPr>
            <w:tcW w:w="4184" w:type="dxa"/>
          </w:tcPr>
          <w:p w14:paraId="3146D4A7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Telefonické a e-mailové spojení:</w:t>
            </w:r>
          </w:p>
        </w:tc>
        <w:tc>
          <w:tcPr>
            <w:tcW w:w="4033" w:type="dxa"/>
          </w:tcPr>
          <w:p w14:paraId="0558C7A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……………………….</w:t>
            </w:r>
          </w:p>
          <w:p w14:paraId="39F072B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…………………………….</w:t>
            </w:r>
          </w:p>
        </w:tc>
      </w:tr>
      <w:tr w:rsidR="00E12619" w:rsidRPr="00B512AE" w14:paraId="573C9204" w14:textId="77777777" w:rsidTr="00B45B7B">
        <w:trPr>
          <w:trHeight w:val="284"/>
        </w:trPr>
        <w:tc>
          <w:tcPr>
            <w:tcW w:w="4184" w:type="dxa"/>
          </w:tcPr>
          <w:p w14:paraId="5CD0A413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Adresa pro doručování</w:t>
            </w:r>
          </w:p>
          <w:p w14:paraId="4B3345C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korespondence:</w:t>
            </w:r>
          </w:p>
        </w:tc>
        <w:tc>
          <w:tcPr>
            <w:tcW w:w="4033" w:type="dxa"/>
          </w:tcPr>
          <w:p w14:paraId="09085A61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………………………………………….</w:t>
            </w:r>
          </w:p>
          <w:p w14:paraId="207FFD7A" w14:textId="77777777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………………………………………..</w:t>
            </w:r>
          </w:p>
          <w:p w14:paraId="692BFAAC" w14:textId="4FF4EA36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966C88">
              <w:rPr>
                <w:rFonts w:ascii="Garamond" w:hAnsi="Garamond"/>
                <w:i/>
                <w:sz w:val="24"/>
                <w:szCs w:val="24"/>
                <w:highlight w:val="yellow"/>
              </w:rPr>
              <w:t>zhotovitel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>)</w:t>
            </w:r>
          </w:p>
        </w:tc>
      </w:tr>
      <w:tr w:rsidR="00E12619" w:rsidRPr="00B512AE" w14:paraId="552DD4FE" w14:textId="77777777" w:rsidTr="00B45B7B">
        <w:trPr>
          <w:trHeight w:val="284"/>
        </w:trPr>
        <w:tc>
          <w:tcPr>
            <w:tcW w:w="4184" w:type="dxa"/>
            <w:vAlign w:val="center"/>
          </w:tcPr>
          <w:p w14:paraId="49BA951E" w14:textId="77777777" w:rsidR="00E12619" w:rsidRPr="00B512AE" w:rsidRDefault="00E12619" w:rsidP="007F26F2">
            <w:pPr>
              <w:spacing w:before="200" w:after="200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„zhotovitel“)</w:t>
            </w:r>
          </w:p>
        </w:tc>
        <w:tc>
          <w:tcPr>
            <w:tcW w:w="4033" w:type="dxa"/>
            <w:vAlign w:val="center"/>
          </w:tcPr>
          <w:p w14:paraId="15F78ECC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C0B4B55" w14:textId="77777777" w:rsid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2660867C" w14:textId="18E0562C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1.</w:t>
      </w:r>
    </w:p>
    <w:p w14:paraId="794871B2" w14:textId="142E3729" w:rsidR="00265BA8" w:rsidRDefault="00265BA8" w:rsidP="00265BA8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Zhotovitel se zavazuje, že pro objednatele bude provádět dílo, spoč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vaj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cí v</w:t>
      </w:r>
      <w:r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prováděn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í 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laboratorního vyšetření – NAT testování vzorků dárců krve a krevních složek (plazmy, krevních destiček) z odběrů pro výrobu transfuzích přípravků a odběrů pro výrobu suroviny pro další zpracování 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§ 4 odst. 3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>v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 xml:space="preserve">yhlášky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č. 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143/2008 Sb.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, v platném znění, 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včetně svozu vzorků.</w:t>
      </w:r>
    </w:p>
    <w:p w14:paraId="3A140A28" w14:textId="15A33CE6" w:rsidR="00FB3ED8" w:rsidRPr="006B52D5" w:rsidRDefault="00FB3ED8" w:rsidP="006B52D5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2.</w:t>
      </w:r>
    </w:p>
    <w:p w14:paraId="655711E2" w14:textId="77777777" w:rsidR="0074286E" w:rsidRDefault="00C633E2" w:rsidP="0074286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265BA8">
        <w:rPr>
          <w:rFonts w:ascii="Garamond" w:eastAsia="Thoth-Unicode" w:hAnsi="Garamond" w:cs="Thoth-Unicode"/>
          <w:kern w:val="0"/>
          <w:sz w:val="24"/>
          <w:szCs w:val="24"/>
        </w:rPr>
        <w:t xml:space="preserve">Prováděním </w:t>
      </w:r>
      <w:r w:rsidR="00100D02">
        <w:rPr>
          <w:rFonts w:ascii="Garamond" w:eastAsia="Thoth-Unicode" w:hAnsi="Garamond" w:cs="Thoth-Unicode"/>
          <w:kern w:val="0"/>
          <w:sz w:val="24"/>
          <w:szCs w:val="24"/>
        </w:rPr>
        <w:t xml:space="preserve">laboratorních vyšetření dle čl. 1 </w:t>
      </w:r>
      <w:r w:rsidR="00265BA8" w:rsidRPr="00265BA8">
        <w:rPr>
          <w:rFonts w:ascii="Garamond" w:eastAsia="Thoth-Unicode" w:hAnsi="Garamond" w:cs="Thoth-Unicode"/>
          <w:kern w:val="0"/>
          <w:sz w:val="24"/>
          <w:szCs w:val="24"/>
        </w:rPr>
        <w:t>se přitom pro účely této smlouvy rozumí</w:t>
      </w:r>
      <w:r w:rsidR="0074286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4286E" w:rsidRPr="0074286E">
        <w:rPr>
          <w:rFonts w:ascii="Garamond" w:eastAsia="Thoth-Unicode" w:hAnsi="Garamond" w:cs="Thoth-Unicode"/>
          <w:kern w:val="0"/>
          <w:sz w:val="24"/>
          <w:szCs w:val="24"/>
        </w:rPr>
        <w:t>vyšetření diagnostických vzorků získaných od dárce („vzorky od dárce“) zahrnující</w:t>
      </w:r>
      <w:r w:rsidR="0074286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4286E" w:rsidRPr="0074286E">
        <w:rPr>
          <w:rFonts w:ascii="Garamond" w:eastAsia="Thoth-Unicode" w:hAnsi="Garamond" w:cs="Thoth-Unicode"/>
          <w:kern w:val="0"/>
          <w:sz w:val="24"/>
          <w:szCs w:val="24"/>
        </w:rPr>
        <w:t>vyšetření k průkazu známek infekce</w:t>
      </w:r>
      <w:r w:rsidR="00100D02">
        <w:rPr>
          <w:rFonts w:ascii="Garamond" w:eastAsia="Thoth-Unicode" w:hAnsi="Garamond" w:cs="Thoth-Unicode"/>
          <w:kern w:val="0"/>
          <w:sz w:val="24"/>
          <w:szCs w:val="24"/>
        </w:rPr>
        <w:t>:</w:t>
      </w:r>
      <w:r w:rsidR="0074286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23073B4A" w14:textId="77777777" w:rsidR="0074286E" w:rsidRDefault="00100D02" w:rsidP="0074286E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a)</w:t>
      </w:r>
      <w:r w:rsidR="0074286E" w:rsidRPr="0074286E">
        <w:t xml:space="preserve"> </w:t>
      </w:r>
      <w:r w:rsidR="0074286E" w:rsidRPr="0074286E">
        <w:rPr>
          <w:rFonts w:ascii="Garamond" w:eastAsia="Thoth-Unicode" w:hAnsi="Garamond" w:cs="Thoth-Unicode"/>
          <w:kern w:val="0"/>
          <w:sz w:val="24"/>
          <w:szCs w:val="24"/>
        </w:rPr>
        <w:t>virem lidského imunodeficitu typů 1 a 2 (dále jen „HIV 1 a 2“), a to metodou přímé detekce virové RNA;</w:t>
      </w:r>
    </w:p>
    <w:p w14:paraId="170B3D6D" w14:textId="5336D28B" w:rsidR="0074286E" w:rsidRPr="0074286E" w:rsidRDefault="0074286E" w:rsidP="0074286E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 xml:space="preserve">b) </w:t>
      </w:r>
      <w:r w:rsidRPr="0074286E">
        <w:rPr>
          <w:rFonts w:ascii="Garamond" w:eastAsia="Thoth-Unicode" w:hAnsi="Garamond" w:cs="Thoth-Unicode"/>
          <w:kern w:val="0"/>
          <w:sz w:val="24"/>
          <w:szCs w:val="24"/>
        </w:rPr>
        <w:t>virem hepatitidy B (dále jen „HBV“), metodou přímé detekce virové DNA;</w:t>
      </w:r>
    </w:p>
    <w:p w14:paraId="3982E439" w14:textId="5246D5B0" w:rsidR="00100D02" w:rsidRDefault="0074286E" w:rsidP="0074286E">
      <w:pPr>
        <w:autoSpaceDE w:val="0"/>
        <w:autoSpaceDN w:val="0"/>
        <w:adjustRightInd w:val="0"/>
        <w:spacing w:after="120" w:line="240" w:lineRule="auto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c) </w:t>
      </w:r>
      <w:r w:rsidRPr="0074286E">
        <w:rPr>
          <w:rFonts w:ascii="Garamond" w:eastAsia="Thoth-Unicode" w:hAnsi="Garamond" w:cs="Thoth-Unicode"/>
          <w:kern w:val="0"/>
          <w:sz w:val="24"/>
          <w:szCs w:val="24"/>
        </w:rPr>
        <w:t>virem hepatitidy C (dále jen „HCV“), metodou přímé detekce virové RNA;</w:t>
      </w:r>
    </w:p>
    <w:p w14:paraId="13746DA7" w14:textId="0725C271" w:rsidR="0074286E" w:rsidRDefault="0074286E" w:rsidP="0074286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Prováděním laboratorních vyšetření dle čl. 1 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 xml:space="preserve">se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dále </w:t>
      </w:r>
      <w:r w:rsidRPr="00265BA8">
        <w:rPr>
          <w:rFonts w:ascii="Garamond" w:eastAsia="Thoth-Unicode" w:hAnsi="Garamond" w:cs="Thoth-Unicode"/>
          <w:kern w:val="0"/>
          <w:sz w:val="24"/>
          <w:szCs w:val="24"/>
        </w:rPr>
        <w:t>pro účely této smlouvy rozumí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vyšetření prováděné </w:t>
      </w:r>
      <w:r w:rsidRPr="0074286E">
        <w:rPr>
          <w:rFonts w:ascii="Garamond" w:eastAsia="Thoth-Unicode" w:hAnsi="Garamond" w:cs="Thoth-Unicode"/>
          <w:kern w:val="0"/>
          <w:sz w:val="24"/>
          <w:szCs w:val="24"/>
        </w:rPr>
        <w:t>u odběrů pro výrobu transfuzních přípravků metodami s prokazatelnou citlivostí ve výchozím vzorku alespoň 500 IU/ml při stanovení HIV RNA, 35 IU/ml při stanovení HBV DNA a 150 IU/ml při stanovení HCV RNA</w:t>
      </w:r>
      <w:r w:rsidR="00F4440D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35DF2B5A" w14:textId="4DF86F2A" w:rsidR="006F18D6" w:rsidRDefault="006F18D6" w:rsidP="006F18D6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</w:t>
      </w:r>
      <w:r w:rsidRPr="006F18D6">
        <w:rPr>
          <w:rFonts w:ascii="Garamond" w:eastAsia="Thoth-Unicode" w:hAnsi="Garamond" w:cs="Thoth-Unicode"/>
          <w:kern w:val="0"/>
          <w:sz w:val="24"/>
          <w:szCs w:val="24"/>
        </w:rPr>
        <w:t xml:space="preserve">Vyšetření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dle odst. 1 a 2 provede zhotovitel </w:t>
      </w:r>
      <w:r w:rsidRPr="006F18D6">
        <w:rPr>
          <w:rFonts w:ascii="Garamond" w:eastAsia="Thoth-Unicode" w:hAnsi="Garamond" w:cs="Thoth-Unicode"/>
          <w:kern w:val="0"/>
          <w:sz w:val="24"/>
          <w:szCs w:val="24"/>
        </w:rPr>
        <w:t>na plně automatickém systému pro přímou detekci virových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6F18D6">
        <w:rPr>
          <w:rFonts w:ascii="Garamond" w:eastAsia="Thoth-Unicode" w:hAnsi="Garamond" w:cs="Thoth-Unicode"/>
          <w:kern w:val="0"/>
          <w:sz w:val="24"/>
          <w:szCs w:val="24"/>
        </w:rPr>
        <w:t>nukleových kyselin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, a to </w:t>
      </w:r>
      <w:r w:rsidRPr="006F18D6">
        <w:rPr>
          <w:rFonts w:ascii="Garamond" w:eastAsia="Thoth-Unicode" w:hAnsi="Garamond" w:cs="Thoth-Unicode"/>
          <w:kern w:val="0"/>
          <w:sz w:val="24"/>
          <w:szCs w:val="24"/>
        </w:rPr>
        <w:t>v režimu IDT.</w:t>
      </w:r>
    </w:p>
    <w:p w14:paraId="1E513C89" w14:textId="3491A1C2" w:rsidR="006F18D6" w:rsidRPr="00265BA8" w:rsidRDefault="006F18D6" w:rsidP="006F18D6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(4) </w:t>
      </w:r>
      <w:r w:rsidRPr="006F18D6">
        <w:rPr>
          <w:rFonts w:ascii="Garamond" w:eastAsia="Thoth-Unicode" w:hAnsi="Garamond" w:cs="Thoth-Unicode"/>
          <w:kern w:val="0"/>
          <w:sz w:val="24"/>
          <w:szCs w:val="24"/>
        </w:rPr>
        <w:t>Diagnostické soupravy a technologie musí splňovat podmínky Správné výrobní praxe v transfuzní službě a podmínky použití v České republice v souvislosti s poskytováním zdravotní péče – zejména ustanovení zákona č. 375/2022 Sb., o zdravotnických prostředcích a diagnostických zdravotnických prostředcích in vitro</w:t>
      </w:r>
      <w:r>
        <w:rPr>
          <w:rFonts w:ascii="Garamond" w:eastAsia="Thoth-Unicode" w:hAnsi="Garamond" w:cs="Thoth-Unicode"/>
          <w:kern w:val="0"/>
          <w:sz w:val="24"/>
          <w:szCs w:val="24"/>
        </w:rPr>
        <w:t>, v platném znění</w:t>
      </w:r>
      <w:r w:rsidRPr="006F18D6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1BAEDD4C" w14:textId="34EC2BDE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3.</w:t>
      </w:r>
    </w:p>
    <w:p w14:paraId="38524727" w14:textId="41D83AC4" w:rsidR="00FD2BC5" w:rsidRDefault="00EB3710" w:rsidP="00F4440D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4440D" w:rsidRPr="00F4440D">
        <w:rPr>
          <w:rFonts w:ascii="Garamond" w:eastAsia="Thoth-Unicode" w:hAnsi="Garamond" w:cs="Thoth-Unicode"/>
          <w:kern w:val="0"/>
          <w:sz w:val="24"/>
          <w:szCs w:val="24"/>
        </w:rPr>
        <w:t xml:space="preserve">Zhotovitel se zavazuje </w:t>
      </w:r>
      <w:r w:rsidR="00FD2BC5">
        <w:rPr>
          <w:rFonts w:ascii="Garamond" w:eastAsia="Thoth-Unicode" w:hAnsi="Garamond" w:cs="Thoth-Unicode"/>
          <w:kern w:val="0"/>
          <w:sz w:val="24"/>
          <w:szCs w:val="24"/>
        </w:rPr>
        <w:t>provést dílo</w:t>
      </w:r>
      <w:r w:rsidR="00F4440D" w:rsidRPr="00F4440D">
        <w:rPr>
          <w:rFonts w:ascii="Garamond" w:eastAsia="Thoth-Unicode" w:hAnsi="Garamond" w:cs="Thoth-Unicode"/>
          <w:kern w:val="0"/>
          <w:sz w:val="24"/>
          <w:szCs w:val="24"/>
        </w:rPr>
        <w:t xml:space="preserve"> podle </w:t>
      </w:r>
      <w:r w:rsidR="00F4440D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F4440D" w:rsidRPr="00F4440D">
        <w:rPr>
          <w:rFonts w:ascii="Garamond" w:eastAsia="Thoth-Unicode" w:hAnsi="Garamond" w:cs="Thoth-Unicode"/>
          <w:kern w:val="0"/>
          <w:sz w:val="24"/>
          <w:szCs w:val="24"/>
        </w:rPr>
        <w:t xml:space="preserve">. 2 této smlouvy </w:t>
      </w:r>
      <w:r w:rsidR="00FD2BC5">
        <w:rPr>
          <w:rFonts w:ascii="Garamond" w:eastAsia="Thoth-Unicode" w:hAnsi="Garamond" w:cs="Thoth-Unicode"/>
          <w:kern w:val="0"/>
          <w:sz w:val="24"/>
          <w:szCs w:val="24"/>
        </w:rPr>
        <w:t xml:space="preserve">do 24 hodin </w:t>
      </w:r>
      <w:r w:rsidR="00FD2BC5" w:rsidRPr="00FD2BC5">
        <w:rPr>
          <w:rFonts w:ascii="Garamond" w:eastAsia="Thoth-Unicode" w:hAnsi="Garamond" w:cs="Thoth-Unicode"/>
          <w:kern w:val="0"/>
          <w:sz w:val="24"/>
          <w:szCs w:val="24"/>
        </w:rPr>
        <w:t xml:space="preserve">od předání vzorků k transportu zabezpečovanému </w:t>
      </w:r>
      <w:r w:rsidR="00FD2BC5">
        <w:rPr>
          <w:rFonts w:ascii="Garamond" w:eastAsia="Thoth-Unicode" w:hAnsi="Garamond" w:cs="Thoth-Unicode"/>
          <w:kern w:val="0"/>
          <w:sz w:val="24"/>
          <w:szCs w:val="24"/>
        </w:rPr>
        <w:t>zhotovitelem.</w:t>
      </w:r>
    </w:p>
    <w:p w14:paraId="5ED33BB6" w14:textId="3039C103" w:rsidR="00FD2BC5" w:rsidRDefault="00FD2BC5" w:rsidP="00F4440D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 V</w:t>
      </w:r>
      <w:r w:rsidRPr="00FD2BC5">
        <w:rPr>
          <w:rFonts w:ascii="Garamond" w:eastAsia="Thoth-Unicode" w:hAnsi="Garamond" w:cs="Thoth-Unicode"/>
          <w:kern w:val="0"/>
          <w:sz w:val="24"/>
          <w:szCs w:val="24"/>
        </w:rPr>
        <w:t xml:space="preserve"> případě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vyšetření </w:t>
      </w:r>
      <w:proofErr w:type="spellStart"/>
      <w:r w:rsidRPr="00FD2BC5">
        <w:rPr>
          <w:rFonts w:ascii="Garamond" w:eastAsia="Thoth-Unicode" w:hAnsi="Garamond" w:cs="Thoth-Unicode"/>
          <w:kern w:val="0"/>
          <w:sz w:val="24"/>
          <w:szCs w:val="24"/>
        </w:rPr>
        <w:t>trombokoncentrátu</w:t>
      </w:r>
      <w:proofErr w:type="spellEnd"/>
      <w:r w:rsidRPr="00FD2BC5">
        <w:rPr>
          <w:rFonts w:ascii="Garamond" w:eastAsia="Thoth-Unicode" w:hAnsi="Garamond" w:cs="Thoth-Unicode"/>
          <w:kern w:val="0"/>
          <w:sz w:val="24"/>
          <w:szCs w:val="24"/>
        </w:rPr>
        <w:t xml:space="preserve"> v režimu </w:t>
      </w:r>
      <w:proofErr w:type="spellStart"/>
      <w:r w:rsidRPr="00FD2BC5">
        <w:rPr>
          <w:rFonts w:ascii="Garamond" w:eastAsia="Thoth-Unicode" w:hAnsi="Garamond" w:cs="Thoth-Unicode"/>
          <w:kern w:val="0"/>
          <w:sz w:val="24"/>
          <w:szCs w:val="24"/>
        </w:rPr>
        <w:t>statim</w:t>
      </w:r>
      <w:proofErr w:type="spellEnd"/>
      <w:r w:rsidRPr="00FD2BC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je lhůta k provedení díla dle čl. 2 této smlouva </w:t>
      </w:r>
      <w:r w:rsidRPr="00FD2BC5">
        <w:rPr>
          <w:rFonts w:ascii="Garamond" w:eastAsia="Thoth-Unicode" w:hAnsi="Garamond" w:cs="Thoth-Unicode"/>
          <w:kern w:val="0"/>
          <w:sz w:val="24"/>
          <w:szCs w:val="24"/>
        </w:rPr>
        <w:t xml:space="preserve">4 hod. od doručení do laboratoře poskytovatele, nejpozději </w:t>
      </w:r>
      <w:r w:rsidR="00E208D4">
        <w:rPr>
          <w:rFonts w:ascii="Garamond" w:eastAsia="Thoth-Unicode" w:hAnsi="Garamond" w:cs="Thoth-Unicode"/>
          <w:kern w:val="0"/>
          <w:sz w:val="24"/>
          <w:szCs w:val="24"/>
        </w:rPr>
        <w:t xml:space="preserve">však </w:t>
      </w:r>
      <w:r w:rsidRPr="00FD2BC5">
        <w:rPr>
          <w:rFonts w:ascii="Garamond" w:eastAsia="Thoth-Unicode" w:hAnsi="Garamond" w:cs="Thoth-Unicode"/>
          <w:kern w:val="0"/>
          <w:sz w:val="24"/>
          <w:szCs w:val="24"/>
        </w:rPr>
        <w:t>týž den do 21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Pr="00FD2BC5">
        <w:rPr>
          <w:rFonts w:ascii="Garamond" w:eastAsia="Thoth-Unicode" w:hAnsi="Garamond" w:cs="Thoth-Unicode"/>
          <w:kern w:val="0"/>
          <w:sz w:val="24"/>
          <w:szCs w:val="24"/>
        </w:rPr>
        <w:t>00 hod. večer.</w:t>
      </w:r>
    </w:p>
    <w:p w14:paraId="4DDB001D" w14:textId="65A02E8D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4.</w:t>
      </w:r>
    </w:p>
    <w:p w14:paraId="3748206C" w14:textId="76298399" w:rsidR="00EB3710" w:rsidRDefault="00EB3710" w:rsidP="00FD2BC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(1)</w:t>
      </w:r>
      <w:r w:rsidR="006B52D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D2BC5" w:rsidRPr="00FD2BC5">
        <w:rPr>
          <w:rFonts w:ascii="Garamond" w:eastAsia="Thoth-Unicode" w:hAnsi="Garamond" w:cs="Thoth-Unicode"/>
          <w:kern w:val="0"/>
          <w:sz w:val="24"/>
          <w:szCs w:val="24"/>
        </w:rPr>
        <w:t>Dílo bude prováděno na základě d</w:t>
      </w:r>
      <w:r w:rsidR="00FD2BC5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D2BC5" w:rsidRPr="00FD2BC5">
        <w:rPr>
          <w:rFonts w:ascii="Garamond" w:eastAsia="Thoth-Unicode" w:hAnsi="Garamond" w:cs="Thoth-Unicode"/>
          <w:kern w:val="0"/>
          <w:sz w:val="24"/>
          <w:szCs w:val="24"/>
        </w:rPr>
        <w:t>lč</w:t>
      </w:r>
      <w:r w:rsidR="00FD2BC5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D2BC5" w:rsidRPr="00FD2BC5">
        <w:rPr>
          <w:rFonts w:ascii="Garamond" w:eastAsia="Thoth-Unicode" w:hAnsi="Garamond" w:cs="Thoth-Unicode"/>
          <w:kern w:val="0"/>
          <w:sz w:val="24"/>
          <w:szCs w:val="24"/>
        </w:rPr>
        <w:t xml:space="preserve">ch objednávek objednatele, </w:t>
      </w:r>
      <w:r w:rsidR="00FD2BC5">
        <w:rPr>
          <w:rFonts w:ascii="Garamond" w:eastAsia="Thoth-Unicode" w:hAnsi="Garamond" w:cs="Thoth-Unicode"/>
          <w:kern w:val="0"/>
          <w:sz w:val="24"/>
          <w:szCs w:val="24"/>
        </w:rPr>
        <w:t>jež objednatel zašle zhotoviteli prostřednictvím svého informačního systému</w:t>
      </w:r>
      <w:r w:rsidR="00FD2BC5" w:rsidRPr="00FD2BC5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42ED17AA" w14:textId="43BE161E" w:rsidR="009D6AA3" w:rsidRDefault="00EB3710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) Objednatel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zajistí odběr vzorků pro laboratorní vyšetření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 xml:space="preserve">krevních vzorků 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do zkumavek schválených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zhotovitelem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0BF3BED5" w14:textId="26E78E3C" w:rsidR="003E0C89" w:rsidRDefault="00EB3710" w:rsidP="003E0C89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Zhotovitel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je povinen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zajistit kompletní odvoz vzorků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od objednatele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k</w:t>
      </w:r>
      <w:r w:rsidR="008F5347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>vyšetření</w:t>
      </w:r>
      <w:r w:rsidR="008F5347">
        <w:rPr>
          <w:rFonts w:ascii="Garamond" w:eastAsia="Thoth-Unicode" w:hAnsi="Garamond" w:cs="Thoth-Unicode"/>
          <w:kern w:val="0"/>
          <w:sz w:val="24"/>
          <w:szCs w:val="24"/>
        </w:rPr>
        <w:t>, způsobem stanoveným obecně závaznými právními předpisy pro převoz krve a krevních derivátů,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2x týdně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, a to vždy v úterý a ve středu v době od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10.00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do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13.00 hod.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 xml:space="preserve">Jedná-li se o 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případě vyšetření vzorku v režimu </w:t>
      </w:r>
      <w:proofErr w:type="spellStart"/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>statim</w:t>
      </w:r>
      <w:proofErr w:type="spellEnd"/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u </w:t>
      </w:r>
      <w:proofErr w:type="spellStart"/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>trombokoncentrátu</w:t>
      </w:r>
      <w:proofErr w:type="spellEnd"/>
      <w:r w:rsidR="003E0C89">
        <w:rPr>
          <w:rFonts w:ascii="Garamond" w:eastAsia="Thoth-Unicode" w:hAnsi="Garamond" w:cs="Thoth-Unicode"/>
          <w:kern w:val="0"/>
          <w:sz w:val="24"/>
          <w:szCs w:val="24"/>
        </w:rPr>
        <w:t xml:space="preserve">, zajistí zhotovitel odvoz tohoto vzorku 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 xml:space="preserve">kterýkoliv pracovní den po přechozí telefonické domluvě 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>objednatelem, přičemž převoz tohoto vzorku je zhotovitel povinen zajistit nejpozději do 13.00 hod</w:t>
      </w:r>
      <w:r w:rsidR="003E0C89" w:rsidRPr="003E0C89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3E0C89">
        <w:rPr>
          <w:rFonts w:ascii="Garamond" w:eastAsia="Thoth-Unicode" w:hAnsi="Garamond" w:cs="Thoth-Unicode"/>
          <w:kern w:val="0"/>
          <w:sz w:val="24"/>
          <w:szCs w:val="24"/>
        </w:rPr>
        <w:t xml:space="preserve"> dne, v němž byl odběr tohoto vzorku proveden objednatelem.</w:t>
      </w:r>
    </w:p>
    <w:p w14:paraId="2F527031" w14:textId="32AE4E5B" w:rsidR="003E0C89" w:rsidRDefault="003E0C89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039014BF" w14:textId="77777777" w:rsidR="003E0C89" w:rsidRDefault="003E0C89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6365E1D3" w14:textId="56953D22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5.</w:t>
      </w:r>
    </w:p>
    <w:p w14:paraId="7A5B4E1C" w14:textId="45D323CB" w:rsidR="0082665E" w:rsidRDefault="00EB3710" w:rsidP="0082665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Zhotovitel se zavazuje postupovat při provádění díla podle 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>. 1 této smlouvy dle příslušných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>právních předpisů, technických norem a dle průběžných pokynů objednatele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>, nejsou-li tyto pokyny v rozporu s právními předpisy.</w:t>
      </w:r>
    </w:p>
    <w:p w14:paraId="4889C3A7" w14:textId="1BD07858" w:rsidR="00FB3ED8" w:rsidRPr="006B52D5" w:rsidRDefault="00FB3ED8" w:rsidP="0082665E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6.</w:t>
      </w:r>
    </w:p>
    <w:p w14:paraId="6738E368" w14:textId="0D1F46CA" w:rsidR="0082665E" w:rsidRPr="0082665E" w:rsidRDefault="00B810DF" w:rsidP="0082665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(1)</w:t>
      </w:r>
      <w:r w:rsidR="0082665E" w:rsidRPr="0082665E">
        <w:t xml:space="preserve"> 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>J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>ednotlivé d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>lč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závazky zhotovitele k proveden</w:t>
      </w:r>
      <w:r w:rsidR="002852B3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díla podle této smlouvy se přitom budou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>považovat za splněné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předáním výsledků vyšetření dle čl. 2 této smlouvy objednateli, a to prostřednictvím informačního systému objednatele.</w:t>
      </w:r>
    </w:p>
    <w:p w14:paraId="0BE514F2" w14:textId="4EEC3A92" w:rsidR="0082665E" w:rsidRDefault="00537A8C" w:rsidP="0082665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82665E">
        <w:rPr>
          <w:rFonts w:ascii="Garamond" w:eastAsia="Thoth-Unicode" w:hAnsi="Garamond" w:cs="Thoth-Unicode"/>
          <w:kern w:val="0"/>
          <w:sz w:val="24"/>
          <w:szCs w:val="24"/>
        </w:rPr>
        <w:t xml:space="preserve">Za účelem předávání požadavků k provádění vyšetření dle čl. 2 této smlouvy zhotoviteli a následného předání výsledků těchto vyšetření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objednateli umožní objednatel zhotoviteli 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napojení </w:t>
      </w:r>
      <w:r>
        <w:rPr>
          <w:rFonts w:ascii="Garamond" w:eastAsia="Thoth-Unicode" w:hAnsi="Garamond" w:cs="Thoth-Unicode"/>
          <w:kern w:val="0"/>
          <w:sz w:val="24"/>
          <w:szCs w:val="24"/>
        </w:rPr>
        <w:t>jeho informačního systému na informační systém objednatele, přičemž zhotovitel tak učiní na svůj náklad v součinnosti se společností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Stapro s.r.o., Pernštýnské nám. 51, 53002 Pardubice (dodavatel IS zadavatele) ve spolupráci se </w:t>
      </w:r>
      <w:r>
        <w:rPr>
          <w:rFonts w:ascii="Garamond" w:eastAsia="Thoth-Unicode" w:hAnsi="Garamond" w:cs="Thoth-Unicode"/>
          <w:kern w:val="0"/>
          <w:sz w:val="24"/>
          <w:szCs w:val="24"/>
        </w:rPr>
        <w:t>s objednatelem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, včetně validací obousměrných přenosů dat před 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 xml:space="preserve">spuštěním služby do standardního provozu. </w:t>
      </w:r>
      <w:r>
        <w:rPr>
          <w:rFonts w:ascii="Garamond" w:eastAsia="Thoth-Unicode" w:hAnsi="Garamond" w:cs="Thoth-Unicode"/>
          <w:kern w:val="0"/>
          <w:sz w:val="24"/>
          <w:szCs w:val="24"/>
        </w:rPr>
        <w:t>Zhotovitel</w:t>
      </w:r>
      <w:r w:rsidR="0082665E" w:rsidRPr="0082665E">
        <w:rPr>
          <w:rFonts w:ascii="Garamond" w:eastAsia="Thoth-Unicode" w:hAnsi="Garamond" w:cs="Thoth-Unicode"/>
          <w:kern w:val="0"/>
          <w:sz w:val="24"/>
          <w:szCs w:val="24"/>
        </w:rPr>
        <w:t xml:space="preserve"> je přitom povinen respektovat „Pravidla pro připojení nových technologií a vzdálenou správu“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, které tvoří 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>přílohu této smlouvy.</w:t>
      </w:r>
    </w:p>
    <w:p w14:paraId="0E5436FB" w14:textId="1B849575" w:rsidR="00E208D4" w:rsidRPr="00FB3ED8" w:rsidRDefault="00E208D4" w:rsidP="0082665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(3)</w:t>
      </w:r>
      <w:r w:rsidRPr="00E208D4">
        <w:t xml:space="preserve"> </w:t>
      </w:r>
      <w:r w:rsidRPr="00E208D4">
        <w:rPr>
          <w:rFonts w:ascii="Garamond" w:eastAsia="Thoth-Unicode" w:hAnsi="Garamond" w:cs="Thoth-Unicode"/>
          <w:kern w:val="0"/>
          <w:sz w:val="24"/>
          <w:szCs w:val="24"/>
        </w:rPr>
        <w:t xml:space="preserve">Datová výměna požadavků na vyšetření a výsledků vyšetření bude probíhat prostřednictvím IS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objednatele</w:t>
      </w:r>
      <w:r w:rsidRPr="00E208D4">
        <w:rPr>
          <w:rFonts w:ascii="Garamond" w:eastAsia="Thoth-Unicode" w:hAnsi="Garamond" w:cs="Thoth-Unicode"/>
          <w:kern w:val="0"/>
          <w:sz w:val="24"/>
          <w:szCs w:val="24"/>
        </w:rPr>
        <w:t xml:space="preserve"> a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zhotovitele </w:t>
      </w:r>
      <w:r w:rsidRPr="00E208D4">
        <w:rPr>
          <w:rFonts w:ascii="Garamond" w:eastAsia="Thoth-Unicode" w:hAnsi="Garamond" w:cs="Thoth-Unicode"/>
          <w:kern w:val="0"/>
          <w:sz w:val="24"/>
          <w:szCs w:val="24"/>
        </w:rPr>
        <w:t>služby ve standardním datovém rozhraní (např. DASTA) s odpovídajícím šifrováním a zabezpečením přenosu zpráv</w:t>
      </w:r>
      <w:r w:rsidR="00C71B0A">
        <w:rPr>
          <w:rFonts w:ascii="Garamond" w:eastAsia="Thoth-Unicode" w:hAnsi="Garamond" w:cs="Thoth-Unicode"/>
          <w:kern w:val="0"/>
          <w:sz w:val="24"/>
          <w:szCs w:val="24"/>
        </w:rPr>
        <w:t>, přičemž obě smluvní strany</w:t>
      </w:r>
      <w:r w:rsidRPr="00E208D4">
        <w:rPr>
          <w:rFonts w:ascii="Garamond" w:eastAsia="Thoth-Unicode" w:hAnsi="Garamond" w:cs="Thoth-Unicode"/>
          <w:kern w:val="0"/>
          <w:sz w:val="24"/>
          <w:szCs w:val="24"/>
        </w:rPr>
        <w:t xml:space="preserve"> služby odpovídají za technické zajištění přenosů na své straně.</w:t>
      </w:r>
    </w:p>
    <w:p w14:paraId="0097AA34" w14:textId="7AF0C76B" w:rsidR="00C71B0A" w:rsidRDefault="00FB3ED8" w:rsidP="00C71B0A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7.</w:t>
      </w:r>
    </w:p>
    <w:p w14:paraId="0C13A53B" w14:textId="178A6375" w:rsidR="00C71B0A" w:rsidRPr="00C71B0A" w:rsidRDefault="00C71B0A" w:rsidP="00C71B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Po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provedení 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vyšetření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dle čl. 2 této smlouvy 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budou </w:t>
      </w:r>
      <w:r>
        <w:rPr>
          <w:rFonts w:ascii="Garamond" w:eastAsia="Thoth-Unicode" w:hAnsi="Garamond" w:cs="Thoth-Unicode"/>
          <w:kern w:val="0"/>
          <w:sz w:val="24"/>
          <w:szCs w:val="24"/>
        </w:rPr>
        <w:t>zhotovitelem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 vzorky archivovány po vydání výsledků do potvrzení přijetí výsledků zadavatelem.</w:t>
      </w:r>
    </w:p>
    <w:p w14:paraId="68B6747D" w14:textId="28FF6F58" w:rsidR="00C71B0A" w:rsidRPr="00C71B0A" w:rsidRDefault="00C71B0A" w:rsidP="00C71B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 Výsledky vyšetření bude zhotovitel interpretovat v souladu s pravidly stanovenými částí C (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>Hodnocení výsledků laboratorních vyšetření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přílohy č. 3 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>k vyhlášce č. 143/2008 Sb.</w:t>
      </w:r>
      <w:r>
        <w:rPr>
          <w:rFonts w:ascii="Garamond" w:eastAsia="Thoth-Unicode" w:hAnsi="Garamond" w:cs="Thoth-Unicode"/>
          <w:kern w:val="0"/>
          <w:sz w:val="24"/>
          <w:szCs w:val="24"/>
        </w:rPr>
        <w:t>, v platném znění.</w:t>
      </w:r>
    </w:p>
    <w:p w14:paraId="3A9FD81F" w14:textId="3089D0D7" w:rsidR="00C71B0A" w:rsidRPr="00C71B0A" w:rsidRDefault="00C71B0A" w:rsidP="00C71B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Konfirmaci reaktivních vzorků zajistí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zhotovitel 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v souladu s </w:t>
      </w:r>
      <w:r>
        <w:rPr>
          <w:rFonts w:ascii="Garamond" w:eastAsia="Thoth-Unicode" w:hAnsi="Garamond" w:cs="Thoth-Unicode"/>
          <w:kern w:val="0"/>
          <w:sz w:val="24"/>
          <w:szCs w:val="24"/>
        </w:rPr>
        <w:t>v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>yhláškou č. 143/2008 Sb.</w:t>
      </w:r>
      <w:r>
        <w:rPr>
          <w:rFonts w:ascii="Garamond" w:eastAsia="Thoth-Unicode" w:hAnsi="Garamond" w:cs="Thoth-Unicode"/>
          <w:kern w:val="0"/>
          <w:sz w:val="24"/>
          <w:szCs w:val="24"/>
        </w:rPr>
        <w:t>, v platném znění, přičemž o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 zahájení konfirmačního řízení bude poskytovatel služby informovat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objednavatele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 nejpozději následující pracovní den po zahájení řízení. </w:t>
      </w:r>
    </w:p>
    <w:p w14:paraId="2132E8A4" w14:textId="6716B984" w:rsidR="00C71B0A" w:rsidRPr="00C71B0A" w:rsidRDefault="00966C88" w:rsidP="00C71B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(4) </w:t>
      </w:r>
      <w:r w:rsidR="00C71B0A"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Výsledek konfirmačního vyšetření předá </w:t>
      </w:r>
      <w:r>
        <w:rPr>
          <w:rFonts w:ascii="Garamond" w:eastAsia="Thoth-Unicode" w:hAnsi="Garamond" w:cs="Thoth-Unicode"/>
          <w:kern w:val="0"/>
          <w:sz w:val="24"/>
          <w:szCs w:val="24"/>
        </w:rPr>
        <w:t>zhotovitel</w:t>
      </w:r>
      <w:r w:rsidR="00C71B0A"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objednateli</w:t>
      </w:r>
      <w:r w:rsidR="00C71B0A" w:rsidRPr="00C71B0A">
        <w:rPr>
          <w:rFonts w:ascii="Garamond" w:eastAsia="Thoth-Unicode" w:hAnsi="Garamond" w:cs="Thoth-Unicode"/>
          <w:kern w:val="0"/>
          <w:sz w:val="24"/>
          <w:szCs w:val="24"/>
        </w:rPr>
        <w:t xml:space="preserve"> nejpozději do 10 pracovních dnů od zahájení konfirmačního řízení.</w:t>
      </w:r>
    </w:p>
    <w:p w14:paraId="03685701" w14:textId="24557F58" w:rsidR="00C71B0A" w:rsidRDefault="00C71B0A" w:rsidP="00C71B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C71B0A">
        <w:rPr>
          <w:rFonts w:ascii="Garamond" w:eastAsia="Thoth-Unicode" w:hAnsi="Garamond" w:cs="Thoth-Unicode"/>
          <w:kern w:val="0"/>
          <w:sz w:val="24"/>
          <w:szCs w:val="24"/>
        </w:rPr>
        <w:t>•</w:t>
      </w:r>
      <w:r w:rsidRPr="00C71B0A">
        <w:rPr>
          <w:rFonts w:ascii="Garamond" w:eastAsia="Thoth-Unicode" w:hAnsi="Garamond" w:cs="Thoth-Unicode"/>
          <w:kern w:val="0"/>
          <w:sz w:val="24"/>
          <w:szCs w:val="24"/>
        </w:rPr>
        <w:tab/>
      </w:r>
    </w:p>
    <w:p w14:paraId="331DE7FA" w14:textId="7F955F21" w:rsidR="00C71B0A" w:rsidRPr="00C71B0A" w:rsidRDefault="00C71B0A" w:rsidP="00C71B0A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8.</w:t>
      </w:r>
    </w:p>
    <w:p w14:paraId="40136BD6" w14:textId="021F3CB3" w:rsidR="00537A8C" w:rsidRDefault="00BE3750" w:rsidP="00537A8C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537A8C" w:rsidRPr="00537A8C">
        <w:rPr>
          <w:rFonts w:ascii="Garamond" w:eastAsia="Thoth-Unicode" w:hAnsi="Garamond" w:cs="Thoth-Unicode"/>
          <w:kern w:val="0"/>
          <w:sz w:val="24"/>
          <w:szCs w:val="24"/>
        </w:rPr>
        <w:t>Pro případ prodlen</w:t>
      </w:r>
      <w:r w:rsidR="00C71B0A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537A8C" w:rsidRPr="00537A8C">
        <w:rPr>
          <w:rFonts w:ascii="Garamond" w:eastAsia="Thoth-Unicode" w:hAnsi="Garamond" w:cs="Thoth-Unicode"/>
          <w:kern w:val="0"/>
          <w:sz w:val="24"/>
          <w:szCs w:val="24"/>
        </w:rPr>
        <w:t xml:space="preserve"> zhotovitele s plněním jeho závazků podle této smlouvy ve lhůtách podle </w:t>
      </w:r>
      <w:r w:rsidR="00537A8C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537A8C" w:rsidRPr="00537A8C">
        <w:rPr>
          <w:rFonts w:ascii="Garamond" w:eastAsia="Thoth-Unicode" w:hAnsi="Garamond" w:cs="Thoth-Unicode"/>
          <w:kern w:val="0"/>
          <w:sz w:val="24"/>
          <w:szCs w:val="24"/>
        </w:rPr>
        <w:t>. 3</w:t>
      </w:r>
      <w:r w:rsidR="00537A8C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537A8C" w:rsidRPr="00537A8C">
        <w:rPr>
          <w:rFonts w:ascii="Garamond" w:eastAsia="Thoth-Unicode" w:hAnsi="Garamond" w:cs="Thoth-Unicode"/>
          <w:kern w:val="0"/>
          <w:sz w:val="24"/>
          <w:szCs w:val="24"/>
        </w:rPr>
        <w:t xml:space="preserve">této smlouvy se zhotovitel zavazuje platit objednateli smluvní pokutu ve výši </w:t>
      </w:r>
    </w:p>
    <w:p w14:paraId="7E186FCF" w14:textId="77777777" w:rsidR="00537A8C" w:rsidRDefault="00537A8C" w:rsidP="00537A8C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a) 2</w:t>
      </w:r>
      <w:r w:rsidRPr="00537A8C">
        <w:rPr>
          <w:rFonts w:ascii="Garamond" w:eastAsia="Thoth-Unicode" w:hAnsi="Garamond" w:cs="Thoth-Unicode"/>
          <w:kern w:val="0"/>
          <w:sz w:val="24"/>
          <w:szCs w:val="24"/>
        </w:rPr>
        <w:t xml:space="preserve">00,- </w:t>
      </w:r>
      <w:r>
        <w:rPr>
          <w:rFonts w:ascii="Garamond" w:eastAsia="Thoth-Unicode" w:hAnsi="Garamond" w:cs="Thoth-Unicode"/>
          <w:kern w:val="0"/>
          <w:sz w:val="24"/>
          <w:szCs w:val="24"/>
        </w:rPr>
        <w:t>K</w:t>
      </w:r>
      <w:r w:rsidRPr="00537A8C">
        <w:rPr>
          <w:rFonts w:ascii="Garamond" w:eastAsia="Thoth-Unicode" w:hAnsi="Garamond" w:cs="Thoth-Unicode"/>
          <w:kern w:val="0"/>
          <w:sz w:val="24"/>
          <w:szCs w:val="24"/>
        </w:rPr>
        <w:t>č</w:t>
      </w:r>
      <w:r>
        <w:rPr>
          <w:rFonts w:ascii="Garamond" w:eastAsia="Thoth-Unicode" w:hAnsi="Garamond" w:cs="Thoth-Unicode"/>
          <w:kern w:val="0"/>
          <w:sz w:val="24"/>
          <w:szCs w:val="24"/>
        </w:rPr>
        <w:t>, jde-li o nedodržení lhůty dle čl. 3 odst. 1 této smlouvy, a</w:t>
      </w:r>
    </w:p>
    <w:p w14:paraId="68B22090" w14:textId="77777777" w:rsidR="00537A8C" w:rsidRDefault="00537A8C" w:rsidP="00537A8C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b) 600,- Kč, jde-li o nedodržení lhůty dle čl. 3 odst. 1 této smlouvy,</w:t>
      </w:r>
    </w:p>
    <w:p w14:paraId="7DAE9950" w14:textId="71F6EA53" w:rsidR="00BE3750" w:rsidRPr="00B810DF" w:rsidRDefault="00537A8C" w:rsidP="00537A8C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a to za každou započatou hodinu 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prodlení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vztahující se zvlášť ke každému jednotlivému krevnímu vzorku.</w:t>
      </w:r>
    </w:p>
    <w:p w14:paraId="54EE58E6" w14:textId="3F36B704" w:rsidR="00FB3ED8" w:rsidRPr="006B52D5" w:rsidRDefault="00966C88" w:rsidP="00DA2D2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9</w:t>
      </w:r>
      <w:r w:rsidR="00FB3ED8"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1A5FC25" w14:textId="6805C6EB" w:rsidR="00FB3ED8" w:rsidRDefault="00DE2256" w:rsidP="00DE2256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>Objednatel se zavazuje zaplatit zhotoviteli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za dílo podle </w:t>
      </w:r>
      <w:r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. 2 této smlouvy cenu díla ve výši </w:t>
      </w:r>
      <w:r w:rsidRPr="00657B3F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………</w:t>
      </w:r>
      <w:proofErr w:type="gramStart"/>
      <w:r w:rsidRPr="00657B3F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…..</w:t>
      </w:r>
      <w:r w:rsidR="00657B3F" w:rsidRPr="00657B3F">
        <w:rPr>
          <w:rFonts w:ascii="Garamond" w:eastAsia="Thoth-Unicode" w:hAnsi="Garamond" w:cs="Thoth-Unicode"/>
          <w:i/>
          <w:iCs/>
          <w:kern w:val="0"/>
          <w:sz w:val="24"/>
          <w:szCs w:val="24"/>
          <w:highlight w:val="yellow"/>
        </w:rPr>
        <w:t>(doplní</w:t>
      </w:r>
      <w:proofErr w:type="gramEnd"/>
      <w:r w:rsidR="00657B3F" w:rsidRPr="00657B3F">
        <w:rPr>
          <w:rFonts w:ascii="Garamond" w:eastAsia="Thoth-Unicode" w:hAnsi="Garamond" w:cs="Thoth-Unicode"/>
          <w:i/>
          <w:iCs/>
          <w:kern w:val="0"/>
          <w:sz w:val="24"/>
          <w:szCs w:val="24"/>
          <w:highlight w:val="yellow"/>
        </w:rPr>
        <w:t xml:space="preserve"> uchazeč)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>,-K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č, a to za každé provedené laboratorní vyšetření. </w:t>
      </w:r>
    </w:p>
    <w:p w14:paraId="2F2220C5" w14:textId="5410C5B6" w:rsidR="008F7130" w:rsidRPr="00FB3ED8" w:rsidRDefault="00B4259E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K ceně díla dle odst. 1 bude připočtena daň z přidané hodnoty ve výši stanovené ob</w:t>
      </w:r>
      <w:r w:rsidR="00657B3F">
        <w:rPr>
          <w:rFonts w:ascii="Garamond" w:eastAsia="Thoth-Unicode" w:hAnsi="Garamond" w:cs="Thoth-Unicode"/>
          <w:kern w:val="0"/>
          <w:sz w:val="24"/>
          <w:szCs w:val="24"/>
        </w:rPr>
        <w:t>e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cně závaznými právními předpisy.</w:t>
      </w:r>
    </w:p>
    <w:p w14:paraId="34CDB8AA" w14:textId="6C8CDECE" w:rsidR="00FB3ED8" w:rsidRPr="006B52D5" w:rsidRDefault="00966C8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10</w:t>
      </w:r>
      <w:r w:rsidR="00FB3ED8"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74B3B81" w14:textId="5714BF59" w:rsidR="00FB3ED8" w:rsidRPr="00FB3ED8" w:rsidRDefault="00DE2256" w:rsidP="00DE2256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Součásti ceny díla podle </w:t>
      </w:r>
      <w:r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  <w:r w:rsidR="00966C88">
        <w:rPr>
          <w:rFonts w:ascii="Garamond" w:eastAsia="Thoth-Unicode" w:hAnsi="Garamond" w:cs="Thoth-Unicode"/>
          <w:kern w:val="0"/>
          <w:sz w:val="24"/>
          <w:szCs w:val="24"/>
        </w:rPr>
        <w:t>9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je náhrada všech nákladů zhotovitele na splněn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jeho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>závazku podle této smlouvy v místě jeho plněn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DE2256">
        <w:rPr>
          <w:rFonts w:ascii="Garamond" w:eastAsia="Thoth-Unicode" w:hAnsi="Garamond" w:cs="Thoth-Unicode"/>
          <w:kern w:val="0"/>
          <w:sz w:val="24"/>
          <w:szCs w:val="24"/>
        </w:rPr>
        <w:t>, včetně nákladů na dopravu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krevních vzorků ke zhotoviteli.</w:t>
      </w:r>
    </w:p>
    <w:p w14:paraId="44D9941C" w14:textId="29B55DCA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439E54CB" w14:textId="095CC124" w:rsidR="00D907DB" w:rsidRPr="00DE2256" w:rsidRDefault="00D907DB" w:rsidP="00D907DB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Cena díla podle 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  <w:r w:rsidR="00966C88">
        <w:rPr>
          <w:rFonts w:ascii="Garamond" w:eastAsia="Thoth-Unicode" w:hAnsi="Garamond" w:cs="Thoth-Unicode"/>
          <w:kern w:val="0"/>
          <w:sz w:val="24"/>
          <w:szCs w:val="24"/>
        </w:rPr>
        <w:t>9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je splatná 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 xml:space="preserve">měsíčně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vždy po splněn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dílčích závazků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zhotovitele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k proveden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díla 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>v příslušném kalendářním měsíci</w:t>
      </w:r>
      <w:r>
        <w:rPr>
          <w:rFonts w:ascii="Garamond" w:eastAsia="Thoth-Unicode" w:hAnsi="Garamond" w:cs="Thoth-Unicode"/>
          <w:kern w:val="0"/>
          <w:sz w:val="24"/>
          <w:szCs w:val="24"/>
        </w:rPr>
        <w:t>, a to na základě písemného vyúčtování zhotovitele majícího náležitosti daňového dokladu dle obecně závazných právních předpisů, a to</w:t>
      </w:r>
      <w:r w:rsid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ve lhůtě 30 dn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od doručení </w:t>
      </w:r>
      <w:r>
        <w:rPr>
          <w:rFonts w:ascii="Garamond" w:eastAsia="Thoth-Unicode" w:hAnsi="Garamond" w:cs="Thoth-Unicode"/>
          <w:kern w:val="0"/>
          <w:sz w:val="24"/>
          <w:szCs w:val="24"/>
        </w:rPr>
        <w:t>tohoto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písemného vyúčtován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>(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faktury/daňového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dokladu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objednateli.</w:t>
      </w:r>
    </w:p>
    <w:p w14:paraId="02122802" w14:textId="2A298353" w:rsidR="00FB3ED8" w:rsidRDefault="00D907DB" w:rsidP="00DE2256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Na faktuře/daňovém dokladu musí být mimo jiné vždy uvedeno toto číslo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DE2256" w:rsidRPr="00DE2256">
        <w:rPr>
          <w:rFonts w:ascii="Garamond" w:eastAsia="Thoth-Unicode" w:hAnsi="Garamond" w:cs="Thoth-Unicode"/>
          <w:kern w:val="0"/>
          <w:sz w:val="24"/>
          <w:szCs w:val="24"/>
        </w:rPr>
        <w:t>veřejné zakázky, ke které se faktura/daňový doklad vztahuje:</w:t>
      </w:r>
      <w:r w:rsidR="007446F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446F6">
        <w:rPr>
          <w:rFonts w:ascii="Garamond" w:eastAsia="Thoth-Unicode" w:hAnsi="Garamond" w:cs="Thoth-Unicode"/>
          <w:b/>
          <w:kern w:val="0"/>
          <w:sz w:val="24"/>
          <w:szCs w:val="24"/>
        </w:rPr>
        <w:t>2400001341</w:t>
      </w:r>
    </w:p>
    <w:p w14:paraId="2CF42F9C" w14:textId="577E2D11" w:rsidR="00657B3F" w:rsidRPr="00FB3ED8" w:rsidRDefault="00657B3F" w:rsidP="00DE2256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Fakturu / daňový doklad zhotovitel zašle elektronicky na e-mail </w:t>
      </w:r>
      <w:hyperlink r:id="rId8" w:history="1">
        <w:r w:rsidRPr="00210A26">
          <w:rPr>
            <w:rStyle w:val="Hypertextovodkaz"/>
            <w:rFonts w:ascii="Garamond" w:eastAsia="Thoth-Unicode" w:hAnsi="Garamond" w:cs="Thoth-Unicode"/>
            <w:kern w:val="0"/>
            <w:sz w:val="24"/>
            <w:szCs w:val="24"/>
          </w:rPr>
          <w:t>dfaktury@nemzn.cz</w:t>
        </w:r>
      </w:hyperlink>
      <w:r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</w:p>
    <w:p w14:paraId="7346483F" w14:textId="63FEF734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bookmarkStart w:id="3" w:name="_GoBack"/>
      <w:bookmarkEnd w:id="3"/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</w:t>
      </w: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37E86521" w14:textId="40232541" w:rsidR="00FB3ED8" w:rsidRPr="00FB3ED8" w:rsidRDefault="00D907DB" w:rsidP="00D907DB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D907DB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>Pro případ prodlení s úhradou ceny díla se objednatel zavazuje zaplatit zhotoviteli úrok z</w:t>
      </w:r>
      <w:r>
        <w:rPr>
          <w:rFonts w:ascii="Garamond" w:eastAsia="Thoth-Unicode" w:hAnsi="Garamond" w:cs="Thoth-Unicode"/>
          <w:kern w:val="0"/>
          <w:sz w:val="24"/>
          <w:szCs w:val="24"/>
        </w:rPr>
        <w:t> p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rodlení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 xml:space="preserve">ve výši </w:t>
      </w:r>
      <w:r>
        <w:rPr>
          <w:rFonts w:ascii="Garamond" w:eastAsia="Thoth-Unicode" w:hAnsi="Garamond" w:cs="Thoth-Unicode"/>
          <w:kern w:val="0"/>
          <w:sz w:val="24"/>
          <w:szCs w:val="24"/>
        </w:rPr>
        <w:t>stanovené obecně závaznými právními předpisy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2E17D0CA" w14:textId="0BB92D08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3</w:t>
      </w: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7378A9DB" w14:textId="22EE2C54" w:rsidR="00FB3ED8" w:rsidRPr="00D907DB" w:rsidRDefault="00D907DB" w:rsidP="00D907DB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Zhotovitel odpovídá objednateli za to, že dílo podle této smlouvy bude odpovídat tuzemským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právním předpisům, technickým, hygienickým a jiným normám, a že bude mít vlastnosti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dohodnuté nebo u těchto děl obvyklé, a to po dobu, po níž to bude mít pro objednatele právní nebo ekonomický zájem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</w:p>
    <w:p w14:paraId="777DCC82" w14:textId="7C135A4C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4</w:t>
      </w: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198B144D" w14:textId="1D05DD6B" w:rsidR="00FB3ED8" w:rsidRPr="00FB3ED8" w:rsidRDefault="00D907DB" w:rsidP="00D907DB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D907DB">
        <w:rPr>
          <w:rFonts w:ascii="Garamond" w:eastAsia="Thoth-Unicode" w:hAnsi="Garamond" w:cs="Thoth-Unicode"/>
          <w:kern w:val="0"/>
          <w:sz w:val="24"/>
          <w:szCs w:val="24"/>
        </w:rPr>
        <w:t xml:space="preserve">Zhotovitel se zavazuje rozhodovat o písemných reklamacích objednatele písemně ve lhůtě do </w:t>
      </w:r>
      <w:r w:rsidR="00DE0EAD">
        <w:rPr>
          <w:rFonts w:ascii="Garamond" w:eastAsia="Thoth-Unicode" w:hAnsi="Garamond" w:cs="Thoth-Unicode"/>
          <w:kern w:val="0"/>
          <w:sz w:val="24"/>
          <w:szCs w:val="24"/>
        </w:rPr>
        <w:t>24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hodin 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od jejich doručen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, a ve stejné lhůtě provést odstraněn</w:t>
      </w:r>
      <w:r w:rsidR="00311945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 xml:space="preserve"> vad z oprávněných reklamaci,</w:t>
      </w:r>
      <w:r w:rsid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D907DB">
        <w:rPr>
          <w:rFonts w:ascii="Garamond" w:eastAsia="Thoth-Unicode" w:hAnsi="Garamond" w:cs="Thoth-Unicode"/>
          <w:kern w:val="0"/>
          <w:sz w:val="24"/>
          <w:szCs w:val="24"/>
        </w:rPr>
        <w:t>nebude-li mezi oběma stranami v jednotlivém případě dohodnuto jinak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4503D4F3" w14:textId="6E29899D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5</w:t>
      </w: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525DACBA" w14:textId="7D85EB47" w:rsidR="00FB3ED8" w:rsidRDefault="00311945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Pro případ sporu o oprávněnost reklamace se objednateli vyhrazuje právo nechat vyhotovit k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prověřen</w:t>
      </w:r>
      <w:r w:rsidR="00A0127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jakosti díla soudně znalecký posudek, jehož výroku se obě strany zavazuj</w:t>
      </w:r>
      <w:r w:rsidR="00A0127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podřizovat s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tím, že náklady na vyhotoven</w:t>
      </w:r>
      <w:r w:rsidR="00A0127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tohoto posudku se zavazuje nést ten účastník sporu, kterému tento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posudek nedal zapravdu.</w:t>
      </w:r>
    </w:p>
    <w:p w14:paraId="37061C71" w14:textId="430CB325" w:rsidR="00966C88" w:rsidRPr="00966C88" w:rsidRDefault="00966C88" w:rsidP="00966C88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6</w:t>
      </w:r>
      <w:r w:rsidRP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7ACCA4A3" w14:textId="17D4EB64" w:rsidR="00966C88" w:rsidRPr="00FB3ED8" w:rsidRDefault="00966C88" w:rsidP="00966C88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 w:rsidRPr="00C71B0A">
        <w:rPr>
          <w:rFonts w:ascii="Garamond" w:eastAsia="Thoth-Unicode" w:hAnsi="Garamond" w:cs="Thoth-Unicode"/>
          <w:kern w:val="0"/>
          <w:sz w:val="24"/>
          <w:szCs w:val="24"/>
        </w:rPr>
        <w:t>Poskytovatel služby se zavazuje zajistit havarijní plán pro případ výpadku kteréhokoliv prvku služby. O nasazení havarijního plánu musí poskytovatel neprodleně informovat zadavatele.</w:t>
      </w:r>
    </w:p>
    <w:p w14:paraId="3897B5DA" w14:textId="3FB862C0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7</w:t>
      </w: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30CB73ED" w14:textId="4934A4D9" w:rsidR="00FB3ED8" w:rsidRPr="00FB3ED8" w:rsidRDefault="00311945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Není-li touto smlouvou ujednáno jinak, řídí se vzájemný právn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vztah mezi zhotovitelem 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objednatelem § 2586 až 2622 občanského zákoníku.</w:t>
      </w:r>
    </w:p>
    <w:p w14:paraId="61E4CAD0" w14:textId="69FBAA0E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8</w:t>
      </w: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C9F8618" w14:textId="66D879A6" w:rsidR="00FB3ED8" w:rsidRPr="00FB3ED8" w:rsidRDefault="00311945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Tuto smlouvu lze změnit nebo zrušit pouze jinou písemnou dohod</w:t>
      </w:r>
      <w:r w:rsidR="00A0127C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u obou smluvních stran. Tuto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smlouvu lze také vypovědět písemnou výpověd</w:t>
      </w:r>
      <w:r w:rsidR="00A0127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s tř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měs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čn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výpovědní lhůtou, která počne běžet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prvním dnem měsíce nás</w:t>
      </w:r>
      <w:r>
        <w:rPr>
          <w:rFonts w:ascii="Garamond" w:eastAsia="Thoth-Unicode" w:hAnsi="Garamond" w:cs="Thoth-Unicode"/>
          <w:kern w:val="0"/>
          <w:sz w:val="24"/>
          <w:szCs w:val="24"/>
        </w:rPr>
        <w:t>led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uj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c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ho po doručení výpovědi druhé smluvní straně. Ze strany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zhotovitele lze tuto smlouvu vypovědět pouze z důvodu prodlen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objednatele se zaplacením ceny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díla o v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c</w:t>
      </w:r>
      <w:r>
        <w:rPr>
          <w:rFonts w:ascii="Garamond" w:eastAsia="Thoth-Unicode" w:hAnsi="Garamond" w:cs="Thoth-Unicode"/>
          <w:kern w:val="0"/>
          <w:sz w:val="24"/>
          <w:szCs w:val="24"/>
        </w:rPr>
        <w:t>e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než 3 měsíce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5164C1E4" w14:textId="047EAD6A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966C8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9</w:t>
      </w: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BA2EF58" w14:textId="6B979A20" w:rsidR="00FB3ED8" w:rsidRPr="00FB3ED8" w:rsidRDefault="00311945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Tato smlouva se uzavírá na základě návrhu na její uzavření ze strany objednatele. Předpokladem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uzavřen</w:t>
      </w:r>
      <w:r w:rsidR="00A0127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je její písemná forma a dohoda o celém jejím obsahu, jak je obsažen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v jejich </w:t>
      </w:r>
      <w:r w:rsidRPr="008F5347">
        <w:rPr>
          <w:rFonts w:ascii="Garamond" w:eastAsia="Thoth-Unicode" w:hAnsi="Garamond" w:cs="Thoth-Unicode"/>
          <w:kern w:val="0"/>
          <w:sz w:val="24"/>
          <w:szCs w:val="24"/>
        </w:rPr>
        <w:t>článcích 1 až 2</w:t>
      </w:r>
      <w:r w:rsidR="00AE310A">
        <w:rPr>
          <w:rFonts w:ascii="Garamond" w:eastAsia="Thoth-Unicode" w:hAnsi="Garamond" w:cs="Thoth-Unicode"/>
          <w:kern w:val="0"/>
          <w:sz w:val="24"/>
          <w:szCs w:val="24"/>
        </w:rPr>
        <w:t>5</w:t>
      </w:r>
      <w:r w:rsidRPr="008F5347">
        <w:rPr>
          <w:rFonts w:ascii="Garamond" w:eastAsia="Thoth-Unicode" w:hAnsi="Garamond" w:cs="Thoth-Unicode"/>
          <w:kern w:val="0"/>
          <w:sz w:val="24"/>
          <w:szCs w:val="24"/>
        </w:rPr>
        <w:t>. Objednatel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přitom předem vylučuje přijeti tohoto návrhu s</w:t>
      </w:r>
      <w:r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dodatkem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nebo odchylkou ve smyslu § 1740 odst. 3 občanského zákoníku.</w:t>
      </w:r>
    </w:p>
    <w:p w14:paraId="15A21FF7" w14:textId="120158A5" w:rsidR="00FB3ED8" w:rsidRPr="00E12619" w:rsidRDefault="00966C8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20</w:t>
      </w:r>
      <w:r w:rsidR="00FB3ED8"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141C10FF" w14:textId="0AB7ED08" w:rsidR="00990640" w:rsidRDefault="008E613B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990640">
        <w:rPr>
          <w:rFonts w:ascii="Garamond" w:eastAsia="Thoth-Unicode" w:hAnsi="Garamond" w:cs="Thoth-Unicode"/>
          <w:kern w:val="0"/>
          <w:sz w:val="24"/>
          <w:szCs w:val="24"/>
        </w:rPr>
        <w:t>Při plnění závazků z této smlouvy je zhotovitel oprávněn jménem objednatele zpracovávat osobní údaje získané od objednatele ve smyslu přímo aplikovatelných právních předpisů EU, a to v souladu s pokyny objednavatele jakožto správce osobních údajů a s obecně závaznými právními předpisy. Za tímto účelem je objednatel povinen zhotoviteli poskytnou odpovídající součinnost spočívající zejména v poskytnutí podkladů pro zp</w:t>
      </w:r>
      <w:r>
        <w:rPr>
          <w:rFonts w:ascii="Garamond" w:eastAsia="Thoth-Unicode" w:hAnsi="Garamond" w:cs="Thoth-Unicode"/>
          <w:kern w:val="0"/>
          <w:sz w:val="24"/>
          <w:szCs w:val="24"/>
        </w:rPr>
        <w:t>r</w:t>
      </w:r>
      <w:r w:rsidR="00990640">
        <w:rPr>
          <w:rFonts w:ascii="Garamond" w:eastAsia="Thoth-Unicode" w:hAnsi="Garamond" w:cs="Thoth-Unicode"/>
          <w:kern w:val="0"/>
          <w:sz w:val="24"/>
          <w:szCs w:val="24"/>
        </w:rPr>
        <w:t>acování těchto osobních údajů.</w:t>
      </w:r>
    </w:p>
    <w:p w14:paraId="7A8F4E9C" w14:textId="26C5A555" w:rsidR="00990640" w:rsidRDefault="008E613B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 Zhotovitel jakožto z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pracovatel se zavazuje zpracovávat osobní údaje pro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objednatele jakožto s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právce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osobních údajů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výhradně za účelem v rozsahu a za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podmínek stanovených touto </w:t>
      </w:r>
      <w:r>
        <w:rPr>
          <w:rFonts w:ascii="Garamond" w:eastAsia="Thoth-Unicode" w:hAnsi="Garamond" w:cs="Thoth-Unicode"/>
          <w:kern w:val="0"/>
          <w:sz w:val="24"/>
          <w:szCs w:val="24"/>
        </w:rPr>
        <w:t>s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mlouvou a na základě výslovných pokynů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objednavatel</w:t>
      </w:r>
    </w:p>
    <w:p w14:paraId="31568D77" w14:textId="16508694" w:rsidR="008E613B" w:rsidRDefault="008E613B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(3) Při zpracování osobních údajů není zhotovitel oprávněn:</w:t>
      </w:r>
    </w:p>
    <w:p w14:paraId="5C33EA4D" w14:textId="1049BF36" w:rsidR="008E613B" w:rsidRPr="008E613B" w:rsidRDefault="008E613B" w:rsidP="006B52D5">
      <w:pPr>
        <w:autoSpaceDE w:val="0"/>
        <w:autoSpaceDN w:val="0"/>
        <w:adjustRightInd w:val="0"/>
        <w:spacing w:after="120" w:line="240" w:lineRule="auto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a)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zapojit do zpracování osobních údajů dalšího zpracovatele.</w:t>
      </w:r>
    </w:p>
    <w:p w14:paraId="4EB065D0" w14:textId="6EFEAB2A" w:rsidR="008E613B" w:rsidRDefault="008E613B" w:rsidP="006B52D5">
      <w:pPr>
        <w:autoSpaceDE w:val="0"/>
        <w:autoSpaceDN w:val="0"/>
        <w:adjustRightInd w:val="0"/>
        <w:spacing w:after="120" w:line="240" w:lineRule="auto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b)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předáv</w:t>
      </w:r>
      <w:r>
        <w:rPr>
          <w:rFonts w:ascii="Garamond" w:eastAsia="Thoth-Unicode" w:hAnsi="Garamond" w:cs="Thoth-Unicode"/>
          <w:kern w:val="0"/>
          <w:sz w:val="24"/>
          <w:szCs w:val="24"/>
        </w:rPr>
        <w:t>at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od objednatele obdržené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osobní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údaj</w:t>
      </w:r>
      <w:r>
        <w:rPr>
          <w:rFonts w:ascii="Garamond" w:eastAsia="Thoth-Unicode" w:hAnsi="Garamond" w:cs="Thoth-Unicode"/>
          <w:kern w:val="0"/>
          <w:sz w:val="24"/>
          <w:szCs w:val="24"/>
        </w:rPr>
        <w:t>e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 do třetích zemí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010D0F35" w14:textId="0DBE1B62" w:rsidR="00990640" w:rsidRPr="00E12619" w:rsidRDefault="00966C8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lastRenderedPageBreak/>
        <w:t>21</w:t>
      </w:r>
      <w:r w:rsidR="00990640"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7739E9F" w14:textId="7EF60D2A" w:rsidR="00AE310A" w:rsidRDefault="00AE310A" w:rsidP="00B512A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(1) Zhotovitel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 se zavazuje zajistit havarijní plán pro případ výpadku kteréhokoliv prvku služby. O nasazení havarijního plánu musí poskytovatel neprodleně informovat zadavatele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2CDA855D" w14:textId="06742911" w:rsidR="00AE310A" w:rsidRPr="00AE310A" w:rsidRDefault="00AE310A" w:rsidP="00AE31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 Zhotovitel je povinen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umožnit objednateli 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>v</w:t>
      </w:r>
      <w:r>
        <w:rPr>
          <w:rFonts w:ascii="Garamond" w:eastAsia="Thoth-Unicode" w:hAnsi="Garamond" w:cs="Thoth-Unicode"/>
          <w:kern w:val="0"/>
          <w:sz w:val="24"/>
          <w:szCs w:val="24"/>
        </w:rPr>
        <w:t>e své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 laboratoři provést audit za účelem posouzení splnění požadavků vyplývajících ze zásad </w:t>
      </w:r>
      <w:r>
        <w:rPr>
          <w:rFonts w:ascii="Garamond" w:eastAsia="Thoth-Unicode" w:hAnsi="Garamond" w:cs="Thoth-Unicode"/>
          <w:kern w:val="0"/>
          <w:sz w:val="24"/>
          <w:szCs w:val="24"/>
        </w:rPr>
        <w:t>s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>právné výrobní praxe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ve smyslu obecně závazných právních předpisů.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39525386" w14:textId="13F92678" w:rsidR="00AE310A" w:rsidRDefault="00AE310A" w:rsidP="00AE310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(3) V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 případě změn plánovaných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zhotovitelem, jež mohou mít vliv 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na kvalitu a bezpečnost transfuzních přípravků a suroviny pro další zpracování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je zhotovitel o těchto změnách písemně 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>informov</w:t>
      </w:r>
      <w:r>
        <w:rPr>
          <w:rFonts w:ascii="Garamond" w:eastAsia="Thoth-Unicode" w:hAnsi="Garamond" w:cs="Thoth-Unicode"/>
          <w:kern w:val="0"/>
          <w:sz w:val="24"/>
          <w:szCs w:val="24"/>
        </w:rPr>
        <w:t>at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zhotovitele, a to 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 xml:space="preserve">nejméně 3 měsíce před zavedením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příslušné </w:t>
      </w:r>
      <w:r w:rsidRPr="00AE310A">
        <w:rPr>
          <w:rFonts w:ascii="Garamond" w:eastAsia="Thoth-Unicode" w:hAnsi="Garamond" w:cs="Thoth-Unicode"/>
          <w:kern w:val="0"/>
          <w:sz w:val="24"/>
          <w:szCs w:val="24"/>
        </w:rPr>
        <w:t>změny.</w:t>
      </w:r>
    </w:p>
    <w:p w14:paraId="4940B5F0" w14:textId="77777777" w:rsidR="00AE310A" w:rsidRDefault="00AE310A" w:rsidP="00B512A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11CE4ABB" w14:textId="29976390" w:rsidR="00AE310A" w:rsidRPr="00AE310A" w:rsidRDefault="00AE310A" w:rsidP="00AE310A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22.</w:t>
      </w:r>
    </w:p>
    <w:p w14:paraId="64C4F801" w14:textId="591EFA65" w:rsidR="0070110F" w:rsidRDefault="0070110F" w:rsidP="00B512A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Tato smlouva nabývá účinnosti dnem jejího uveřejněn</w:t>
      </w:r>
      <w:r w:rsidR="00311945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v registru smluv dle </w:t>
      </w:r>
      <w:r w:rsidR="008E613B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  <w:r w:rsidR="00311945">
        <w:rPr>
          <w:rFonts w:ascii="Garamond" w:eastAsia="Thoth-Unicode" w:hAnsi="Garamond" w:cs="Thoth-Unicode"/>
          <w:kern w:val="0"/>
          <w:sz w:val="24"/>
          <w:szCs w:val="24"/>
        </w:rPr>
        <w:t>2</w:t>
      </w:r>
      <w:r w:rsidR="00AE310A">
        <w:rPr>
          <w:rFonts w:ascii="Garamond" w:eastAsia="Thoth-Unicode" w:hAnsi="Garamond" w:cs="Thoth-Unicode"/>
          <w:kern w:val="0"/>
          <w:sz w:val="24"/>
          <w:szCs w:val="24"/>
        </w:rPr>
        <w:t>3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, nejdříve však</w:t>
      </w:r>
      <w:r w:rsidR="00B512A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B512AE" w:rsidRPr="008F5347">
        <w:rPr>
          <w:rFonts w:ascii="Garamond" w:eastAsia="Thoth-Unicode" w:hAnsi="Garamond" w:cs="Thoth-Unicode"/>
          <w:kern w:val="0"/>
          <w:sz w:val="24"/>
          <w:szCs w:val="24"/>
        </w:rPr>
        <w:t xml:space="preserve">dne </w:t>
      </w:r>
      <w:r w:rsidRPr="008F5347">
        <w:rPr>
          <w:rFonts w:ascii="Garamond" w:eastAsia="Thoth-Unicode" w:hAnsi="Garamond" w:cs="Thoth-Unicode"/>
          <w:kern w:val="0"/>
          <w:sz w:val="24"/>
          <w:szCs w:val="24"/>
        </w:rPr>
        <w:t xml:space="preserve">1. </w:t>
      </w:r>
      <w:r w:rsidR="00311945" w:rsidRPr="008F5347">
        <w:rPr>
          <w:rFonts w:ascii="Garamond" w:eastAsia="Thoth-Unicode" w:hAnsi="Garamond" w:cs="Thoth-Unicode"/>
          <w:kern w:val="0"/>
          <w:sz w:val="24"/>
          <w:szCs w:val="24"/>
        </w:rPr>
        <w:t>července</w:t>
      </w:r>
      <w:r w:rsidRPr="008F5347">
        <w:rPr>
          <w:rFonts w:ascii="Garamond" w:eastAsia="Thoth-Unicode" w:hAnsi="Garamond" w:cs="Thoth-Unicode"/>
          <w:kern w:val="0"/>
          <w:sz w:val="24"/>
          <w:szCs w:val="24"/>
        </w:rPr>
        <w:t xml:space="preserve"> 202</w:t>
      </w:r>
      <w:r w:rsidR="00BE3750" w:rsidRPr="008F5347">
        <w:rPr>
          <w:rFonts w:ascii="Garamond" w:eastAsia="Thoth-Unicode" w:hAnsi="Garamond" w:cs="Thoth-Unicode"/>
          <w:kern w:val="0"/>
          <w:sz w:val="24"/>
          <w:szCs w:val="24"/>
        </w:rPr>
        <w:t>4</w:t>
      </w:r>
      <w:r w:rsidRPr="008F5347">
        <w:rPr>
          <w:rFonts w:ascii="Garamond" w:eastAsia="Thoth-Unicode" w:hAnsi="Garamond" w:cs="Thoth-Unicode"/>
          <w:kern w:val="0"/>
          <w:sz w:val="24"/>
          <w:szCs w:val="24"/>
        </w:rPr>
        <w:t xml:space="preserve"> a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uzavírá se na dobu určitou</w:t>
      </w:r>
      <w:r w:rsidR="00311945">
        <w:rPr>
          <w:rFonts w:ascii="Garamond" w:eastAsia="Thoth-Unicode" w:hAnsi="Garamond" w:cs="Thoth-Unicode"/>
          <w:kern w:val="0"/>
          <w:sz w:val="24"/>
          <w:szCs w:val="24"/>
        </w:rPr>
        <w:t xml:space="preserve"> do 30. června 2025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7ED393DE" w14:textId="7ABD3BE2" w:rsidR="00311945" w:rsidRPr="00E12619" w:rsidRDefault="00966C88" w:rsidP="0031194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</w:t>
      </w:r>
      <w:r w:rsidR="00AE310A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3</w:t>
      </w:r>
      <w:r w:rsidR="00FB3ED8"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56AD961A" w14:textId="0BCB438F" w:rsidR="00311945" w:rsidRDefault="00311945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Tato smlouva bude uveřejněna prostřednictvím registru smluv postupem dle zákona č. 340/2015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Sb., o zvláštních podmínkách účinnosti některých smluv, uveřejňováni těchto smluv a o registru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smluv (zákon o registru smluv), v platném znění. Smluvní strany se dohodly, že uveřejněni v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registru smluv (ISRS) včetně uvedeni metadat zajistí objednatel.</w:t>
      </w:r>
    </w:p>
    <w:p w14:paraId="55B9D755" w14:textId="08637904" w:rsidR="00311945" w:rsidRPr="00311945" w:rsidRDefault="00311945" w:rsidP="0031194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</w:t>
      </w:r>
      <w:r w:rsidR="00AE310A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4</w:t>
      </w:r>
      <w:r w:rsidRPr="0031194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55232B84" w14:textId="77777777" w:rsidR="00311945" w:rsidRDefault="00311945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Zhotovitel </w:t>
      </w:r>
      <w:r>
        <w:rPr>
          <w:rFonts w:ascii="Garamond" w:eastAsia="Thoth-Unicode" w:hAnsi="Garamond" w:cs="Thoth-Unicode"/>
          <w:kern w:val="0"/>
          <w:sz w:val="24"/>
          <w:szCs w:val="24"/>
        </w:rPr>
        <w:t>u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děluje objednateli svůj výslovný souhlas se zveřejněním podmínek této smlouvy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v rozsahu a za podmínek vyplývaj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c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>ch z příslušných právních předpisů (zejména zákona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311945">
        <w:rPr>
          <w:rFonts w:ascii="Garamond" w:eastAsia="Thoth-Unicode" w:hAnsi="Garamond" w:cs="Thoth-Unicode"/>
          <w:kern w:val="0"/>
          <w:sz w:val="24"/>
          <w:szCs w:val="24"/>
        </w:rPr>
        <w:t xml:space="preserve">č. 106/1999 Sb., o svobodném přístupu k informacím, v platném znění). </w:t>
      </w:r>
    </w:p>
    <w:p w14:paraId="34C2C0D7" w14:textId="38541B42" w:rsidR="00311945" w:rsidRPr="008F5347" w:rsidRDefault="008F5347" w:rsidP="008F5347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8F5347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</w:t>
      </w:r>
      <w:r w:rsidR="00AE310A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5</w:t>
      </w:r>
      <w:r w:rsidRPr="008F5347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8ABAFD2" w14:textId="648785F7" w:rsidR="00FB3ED8" w:rsidRDefault="00FB3ED8" w:rsidP="0031194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Dáno ve dvou originálních písemných vyhotoveních, z nichž každá ze smluvních stran obdrží po</w:t>
      </w:r>
      <w:r w:rsidR="008F5347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jednom.</w:t>
      </w:r>
    </w:p>
    <w:p w14:paraId="472B8960" w14:textId="3D5C633A" w:rsidR="008F7130" w:rsidRDefault="008F7130" w:rsidP="006B52D5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64CC118E" w14:textId="464207F8" w:rsidR="008F7130" w:rsidRDefault="008F7130" w:rsidP="006B52D5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Přílohy:</w:t>
      </w:r>
    </w:p>
    <w:p w14:paraId="7F09E354" w14:textId="138EB377" w:rsidR="008F5347" w:rsidRDefault="008F5347" w:rsidP="008F5347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5347">
        <w:rPr>
          <w:rFonts w:ascii="Garamond" w:eastAsia="Thoth-Unicode" w:hAnsi="Garamond" w:cs="Thoth-Unicode"/>
          <w:kern w:val="0"/>
          <w:sz w:val="24"/>
          <w:szCs w:val="24"/>
        </w:rPr>
        <w:t xml:space="preserve">Pravidla pro připojení nových technologií, vzdálenou správu </w:t>
      </w:r>
      <w:proofErr w:type="spellStart"/>
      <w:r w:rsidRPr="008F5347">
        <w:rPr>
          <w:rFonts w:ascii="Garamond" w:eastAsia="Thoth-Unicode" w:hAnsi="Garamond" w:cs="Thoth-Unicode"/>
          <w:kern w:val="0"/>
          <w:sz w:val="24"/>
          <w:szCs w:val="24"/>
        </w:rPr>
        <w:t>atd</w:t>
      </w:r>
      <w:proofErr w:type="spellEnd"/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A2D25" w:rsidRPr="00DA2D25" w14:paraId="5392FA63" w14:textId="77777777" w:rsidTr="004412CF">
        <w:trPr>
          <w:trHeight w:val="923"/>
        </w:trPr>
        <w:tc>
          <w:tcPr>
            <w:tcW w:w="4673" w:type="dxa"/>
          </w:tcPr>
          <w:p w14:paraId="5599096C" w14:textId="77777777" w:rsidR="00DA2D25" w:rsidRPr="00DA2D25" w:rsidRDefault="00DA2D25" w:rsidP="004412CF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b/>
              </w:rPr>
              <w:t>Za Objednatele:</w:t>
            </w:r>
          </w:p>
        </w:tc>
        <w:tc>
          <w:tcPr>
            <w:tcW w:w="4820" w:type="dxa"/>
          </w:tcPr>
          <w:p w14:paraId="6B0B4FB8" w14:textId="77777777" w:rsidR="00DA2D25" w:rsidRPr="00DA2D25" w:rsidRDefault="00DA2D25" w:rsidP="004412CF">
            <w:pPr>
              <w:rPr>
                <w:rFonts w:ascii="Garamond" w:hAnsi="Garamond"/>
                <w:b/>
              </w:rPr>
            </w:pPr>
            <w:r w:rsidRPr="00DA2D25">
              <w:rPr>
                <w:rFonts w:ascii="Garamond" w:hAnsi="Garamond"/>
                <w:b/>
              </w:rPr>
              <w:t>Za Poskytovatele:</w:t>
            </w:r>
          </w:p>
          <w:p w14:paraId="2BFE3DBB" w14:textId="77777777" w:rsidR="00DA2D25" w:rsidRPr="00DA2D25" w:rsidRDefault="00DA2D25" w:rsidP="004412CF">
            <w:pPr>
              <w:rPr>
                <w:rFonts w:ascii="Garamond" w:hAnsi="Garamond"/>
              </w:rPr>
            </w:pPr>
          </w:p>
        </w:tc>
      </w:tr>
      <w:tr w:rsidR="00DA2D25" w:rsidRPr="00DA2D25" w14:paraId="60DCF089" w14:textId="77777777" w:rsidTr="004412CF">
        <w:trPr>
          <w:trHeight w:val="2553"/>
        </w:trPr>
        <w:tc>
          <w:tcPr>
            <w:tcW w:w="4673" w:type="dxa"/>
          </w:tcPr>
          <w:p w14:paraId="489C7E6F" w14:textId="77777777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Ve Znojmě</w:t>
            </w:r>
          </w:p>
        </w:tc>
        <w:tc>
          <w:tcPr>
            <w:tcW w:w="4820" w:type="dxa"/>
          </w:tcPr>
          <w:p w14:paraId="36AB3354" w14:textId="77777777" w:rsidR="00DA2D25" w:rsidRPr="00DA2D25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 xml:space="preserve">V </w:t>
            </w: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</w:t>
            </w:r>
            <w:r w:rsidRPr="00DA2D25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>vyplní poskytovatel</w:t>
            </w:r>
            <w:r w:rsidRPr="00DA2D25">
              <w:rPr>
                <w:rFonts w:ascii="Garamond" w:hAnsi="Garamond"/>
                <w:i/>
                <w:sz w:val="24"/>
                <w:szCs w:val="24"/>
              </w:rPr>
              <w:t>)</w:t>
            </w:r>
          </w:p>
        </w:tc>
      </w:tr>
      <w:tr w:rsidR="00DA2D25" w:rsidRPr="00DA2D25" w14:paraId="539DA5ED" w14:textId="77777777" w:rsidTr="004412CF">
        <w:trPr>
          <w:trHeight w:val="404"/>
        </w:trPr>
        <w:tc>
          <w:tcPr>
            <w:tcW w:w="4673" w:type="dxa"/>
            <w:vAlign w:val="bottom"/>
          </w:tcPr>
          <w:p w14:paraId="17049B80" w14:textId="77777777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MUDr. Miroslav Kavka, MBA</w:t>
            </w:r>
          </w:p>
        </w:tc>
        <w:tc>
          <w:tcPr>
            <w:tcW w:w="4820" w:type="dxa"/>
            <w:vAlign w:val="bottom"/>
          </w:tcPr>
          <w:p w14:paraId="26CE4E46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7047D213" w14:textId="77777777" w:rsidTr="004412CF">
        <w:trPr>
          <w:trHeight w:val="269"/>
        </w:trPr>
        <w:tc>
          <w:tcPr>
            <w:tcW w:w="4673" w:type="dxa"/>
          </w:tcPr>
          <w:p w14:paraId="61F34E69" w14:textId="7730159B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ředitel Nemocnice Znojmo, p. o.</w:t>
            </w:r>
          </w:p>
        </w:tc>
        <w:tc>
          <w:tcPr>
            <w:tcW w:w="4820" w:type="dxa"/>
          </w:tcPr>
          <w:p w14:paraId="4E13FFC4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401DE67E" w14:textId="77777777" w:rsidTr="004412CF">
        <w:trPr>
          <w:trHeight w:val="244"/>
        </w:trPr>
        <w:tc>
          <w:tcPr>
            <w:tcW w:w="4673" w:type="dxa"/>
          </w:tcPr>
          <w:p w14:paraId="0E5314DF" w14:textId="77777777" w:rsidR="00DA2D25" w:rsidRPr="00DA2D25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546D21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</w:t>
            </w:r>
          </w:p>
          <w:p w14:paraId="55EB54B7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>vyplní poskytovatel)</w:t>
            </w:r>
          </w:p>
        </w:tc>
      </w:tr>
    </w:tbl>
    <w:p w14:paraId="32738960" w14:textId="77777777" w:rsidR="00B4259E" w:rsidRDefault="00B4259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</w:p>
    <w:p w14:paraId="1F214E6B" w14:textId="77777777" w:rsidR="00966C88" w:rsidRDefault="00B4259E" w:rsidP="00966C88">
      <w:pPr>
        <w:spacing w:after="124" w:line="261" w:lineRule="auto"/>
        <w:rPr>
          <w:rFonts w:ascii="Garamond" w:hAnsi="Garamond"/>
          <w:b/>
          <w:bCs/>
          <w:sz w:val="24"/>
          <w:szCs w:val="24"/>
        </w:rPr>
      </w:pPr>
      <w:r w:rsidRPr="00B512AE">
        <w:rPr>
          <w:rFonts w:ascii="Garamond" w:hAnsi="Garamond"/>
          <w:b/>
          <w:bCs/>
          <w:sz w:val="24"/>
          <w:szCs w:val="24"/>
        </w:rPr>
        <w:lastRenderedPageBreak/>
        <w:t xml:space="preserve">Příloha </w:t>
      </w:r>
    </w:p>
    <w:p w14:paraId="1810E629" w14:textId="22D6A269" w:rsidR="00966C88" w:rsidRPr="00966C88" w:rsidRDefault="00966C88" w:rsidP="00966C88">
      <w:pPr>
        <w:spacing w:after="124" w:line="261" w:lineRule="auto"/>
        <w:rPr>
          <w:rFonts w:ascii="Garamond" w:hAnsi="Garamond"/>
          <w:b/>
          <w:bCs/>
          <w:sz w:val="24"/>
          <w:szCs w:val="24"/>
        </w:rPr>
      </w:pPr>
      <w:r w:rsidRPr="006F3305">
        <w:rPr>
          <w:rFonts w:cstheme="minorHAnsi"/>
          <w:b/>
          <w:bCs/>
        </w:rPr>
        <w:t>Pravidla pro připojení nových technologií, vzdálenou správu atd.</w:t>
      </w:r>
    </w:p>
    <w:p w14:paraId="5B5A7DE5" w14:textId="77777777" w:rsidR="00966C88" w:rsidRPr="006F3305" w:rsidRDefault="00966C88" w:rsidP="00966C88">
      <w:pPr>
        <w:rPr>
          <w:rFonts w:cstheme="minorHAnsi"/>
          <w:b/>
          <w:bCs/>
        </w:rPr>
      </w:pPr>
      <w:r w:rsidRPr="006F3305">
        <w:rPr>
          <w:rFonts w:cstheme="minorHAnsi"/>
          <w:b/>
          <w:bCs/>
        </w:rPr>
        <w:t xml:space="preserve">Odbor informačních technologií (OIT) Nemocnice Znojmo </w:t>
      </w:r>
    </w:p>
    <w:p w14:paraId="399CB393" w14:textId="77777777" w:rsidR="00966C88" w:rsidRDefault="00966C88" w:rsidP="00966C8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Verze 8 - 27. 06. 2023</w:t>
      </w:r>
    </w:p>
    <w:p w14:paraId="1ED2D320" w14:textId="77777777" w:rsidR="00966C88" w:rsidRDefault="00966C88" w:rsidP="00966C8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Níže uvedená pravidla Nemocnice Znojmo (dále jen Zadavatel) vycházejí z principu rovného zacházení s dodavateli, hospodárného nakládání prostředků a zejména kybernetické bezpečnosti Nemocnice Znojmo a jsou přílohou zadávací dokumentace výběrového řízení a smlouvy při nákupu nových technologií.</w:t>
      </w:r>
    </w:p>
    <w:p w14:paraId="18FA4520" w14:textId="77777777" w:rsidR="00966C88" w:rsidRDefault="00966C88" w:rsidP="00966C88">
      <w:pPr>
        <w:jc w:val="both"/>
        <w:rPr>
          <w:rFonts w:ascii="Calibri" w:hAnsi="Calibri" w:cs="Calibri"/>
        </w:rPr>
      </w:pPr>
    </w:p>
    <w:p w14:paraId="543A8F93" w14:textId="77777777" w:rsidR="00966C88" w:rsidRDefault="00966C88" w:rsidP="00966C8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Obecná pravidla:</w:t>
      </w:r>
    </w:p>
    <w:p w14:paraId="65A2E805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 musí být dodána jako samostatně funkční celek, veškeré pro chod zařízení potřebné komponenty jako je například HW, SW, </w:t>
      </w:r>
      <w:proofErr w:type="spellStart"/>
      <w:r w:rsidRPr="00B204AE">
        <w:rPr>
          <w:rFonts w:ascii="Calibri" w:eastAsia="Calibri" w:hAnsi="Calibri" w:cs="Calibri"/>
          <w:lang w:bidi="en-US"/>
        </w:rPr>
        <w:t>middle-ware</w:t>
      </w:r>
      <w:proofErr w:type="spellEnd"/>
      <w:r w:rsidRPr="00B204AE">
        <w:rPr>
          <w:rFonts w:ascii="Calibri" w:eastAsia="Calibri" w:hAnsi="Calibri" w:cs="Calibri"/>
          <w:lang w:bidi="en-US"/>
        </w:rPr>
        <w:t>, licence, SQL databáze a podobně dodá Dodavatel jako součást dodávky</w:t>
      </w:r>
      <w:r>
        <w:rPr>
          <w:rFonts w:ascii="Calibri" w:eastAsia="Calibri" w:hAnsi="Calibri" w:cs="Calibri"/>
          <w:lang w:bidi="en-US"/>
        </w:rPr>
        <w:t>.</w:t>
      </w:r>
    </w:p>
    <w:p w14:paraId="35ABFE0E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Instalované technologie nebudou mít přístup na Internet, s výjimkou vzdálené správy, bude-li požadována</w:t>
      </w:r>
      <w:r>
        <w:rPr>
          <w:rFonts w:ascii="Calibri" w:eastAsia="Calibri" w:hAnsi="Calibri" w:cs="Calibri"/>
          <w:lang w:bidi="en-US"/>
        </w:rPr>
        <w:t>.</w:t>
      </w:r>
    </w:p>
    <w:p w14:paraId="223E2AB1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Instalované technologie budou odděleny od vnitřních počítačových sítí Zadavatele, jedinou výjimkou může být přístup k (vazba na) LIS, NIS či PACS, bude-li požadován a předem dohodnut</w:t>
      </w:r>
      <w:r>
        <w:rPr>
          <w:rFonts w:ascii="Calibri" w:eastAsia="Calibri" w:hAnsi="Calibri" w:cs="Calibri"/>
          <w:lang w:bidi="en-US"/>
        </w:rPr>
        <w:t>.</w:t>
      </w:r>
    </w:p>
    <w:p w14:paraId="45F88657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Instalovaným technologiím nebude umožněn přenos dat přes Wi-Fi</w:t>
      </w:r>
      <w:r>
        <w:rPr>
          <w:rFonts w:ascii="Calibri" w:eastAsia="Calibri" w:hAnsi="Calibri" w:cs="Calibri"/>
          <w:lang w:bidi="en-US"/>
        </w:rPr>
        <w:t>.</w:t>
      </w:r>
    </w:p>
    <w:p w14:paraId="6A46A0BA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 rámci dodávek není možné instalovat Wi-Fi </w:t>
      </w:r>
      <w:proofErr w:type="spellStart"/>
      <w:r w:rsidRPr="00B204AE">
        <w:rPr>
          <w:rFonts w:ascii="Calibri" w:eastAsia="Calibri" w:hAnsi="Calibri" w:cs="Calibri"/>
          <w:lang w:bidi="en-US"/>
        </w:rPr>
        <w:t>AccessPointy</w:t>
      </w:r>
      <w:proofErr w:type="spellEnd"/>
      <w:r w:rsidRPr="00B204AE">
        <w:rPr>
          <w:rFonts w:ascii="Calibri" w:eastAsia="Calibri" w:hAnsi="Calibri" w:cs="Calibri"/>
          <w:lang w:bidi="en-US"/>
        </w:rPr>
        <w:t>, ani provozovat Wi-Fi komunikaci</w:t>
      </w:r>
      <w:r>
        <w:rPr>
          <w:rFonts w:ascii="Calibri" w:eastAsia="Calibri" w:hAnsi="Calibri" w:cs="Calibri"/>
          <w:lang w:bidi="en-US"/>
        </w:rPr>
        <w:t>.</w:t>
      </w:r>
    </w:p>
    <w:p w14:paraId="3290F9B4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U instalace technologie musí být vždy přítomen pracovník OIT Zadavatele. Termín instalace musí být dohodnut s pracovníky OIT Zadavatele alespoň </w:t>
      </w:r>
      <w:r>
        <w:rPr>
          <w:rFonts w:ascii="Calibri" w:eastAsia="Calibri" w:hAnsi="Calibri" w:cs="Calibri"/>
          <w:lang w:bidi="en-US"/>
        </w:rPr>
        <w:t>5</w:t>
      </w:r>
      <w:r w:rsidRPr="00B204AE">
        <w:rPr>
          <w:rFonts w:ascii="Calibri" w:eastAsia="Calibri" w:hAnsi="Calibri" w:cs="Calibri"/>
          <w:lang w:bidi="en-US"/>
        </w:rPr>
        <w:t xml:space="preserve"> pracovní</w:t>
      </w:r>
      <w:r>
        <w:rPr>
          <w:rFonts w:ascii="Calibri" w:eastAsia="Calibri" w:hAnsi="Calibri" w:cs="Calibri"/>
          <w:lang w:bidi="en-US"/>
        </w:rPr>
        <w:t>ch</w:t>
      </w:r>
      <w:r w:rsidRPr="00B204AE">
        <w:rPr>
          <w:rFonts w:ascii="Calibri" w:eastAsia="Calibri" w:hAnsi="Calibri" w:cs="Calibri"/>
          <w:lang w:bidi="en-US"/>
        </w:rPr>
        <w:t xml:space="preserve"> dn</w:t>
      </w:r>
      <w:r>
        <w:rPr>
          <w:rFonts w:ascii="Calibri" w:eastAsia="Calibri" w:hAnsi="Calibri" w:cs="Calibri"/>
          <w:lang w:bidi="en-US"/>
        </w:rPr>
        <w:t>í</w:t>
      </w:r>
      <w:r w:rsidRPr="00B204AE">
        <w:rPr>
          <w:rFonts w:ascii="Calibri" w:eastAsia="Calibri" w:hAnsi="Calibri" w:cs="Calibri"/>
          <w:lang w:bidi="en-US"/>
        </w:rPr>
        <w:t xml:space="preserve"> předem</w:t>
      </w:r>
      <w:r>
        <w:rPr>
          <w:rFonts w:ascii="Calibri" w:eastAsia="Calibri" w:hAnsi="Calibri" w:cs="Calibri"/>
          <w:lang w:bidi="en-US"/>
        </w:rPr>
        <w:t>.</w:t>
      </w:r>
    </w:p>
    <w:p w14:paraId="7EC84B13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Bude-li součástí dodávky nestandardní technologie, např. HW USB klíč, bude tato technologie (zařízení) provozována plně v režii dodavatele. </w:t>
      </w:r>
    </w:p>
    <w:p w14:paraId="64F50C30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Servery Dodavatelů je možno umístit do nemocniční serverovny, v takovém případě musí být splněny následující podmínky: </w:t>
      </w:r>
    </w:p>
    <w:p w14:paraId="27E18A0C" w14:textId="77777777" w:rsidR="00966C88" w:rsidRDefault="00966C88" w:rsidP="00966C88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B204AE">
        <w:rPr>
          <w:rFonts w:ascii="Calibri" w:eastAsia="Calibri" w:hAnsi="Calibri" w:cs="Calibri"/>
          <w:lang w:bidi="en-US"/>
        </w:rPr>
        <w:t>server</w:t>
      </w:r>
      <w:r>
        <w:rPr>
          <w:rFonts w:ascii="Calibri" w:hAnsi="Calibri" w:cs="Calibri"/>
        </w:rPr>
        <w:t xml:space="preserve"> musí být výhradně typu RACK </w:t>
      </w:r>
      <w:proofErr w:type="spellStart"/>
      <w:r>
        <w:rPr>
          <w:rFonts w:ascii="Calibri" w:hAnsi="Calibri" w:cs="Calibri"/>
        </w:rPr>
        <w:t>mount</w:t>
      </w:r>
      <w:proofErr w:type="spellEnd"/>
      <w:r>
        <w:rPr>
          <w:rFonts w:ascii="Calibri" w:hAnsi="Calibri" w:cs="Calibri"/>
        </w:rPr>
        <w:t>, dodávka včetně ližin a kabeláží,</w:t>
      </w:r>
    </w:p>
    <w:p w14:paraId="1279A476" w14:textId="77777777" w:rsidR="00966C88" w:rsidRDefault="00966C88" w:rsidP="00966C88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přístup pracovníků Dodavatele k serveru jen po předchozí dohodě s pracovníky OIT, pouze v pracovní dny, mimo tuto dobu jen výjimečně,</w:t>
      </w:r>
    </w:p>
    <w:p w14:paraId="5FA6FBE3" w14:textId="77777777" w:rsidR="00966C88" w:rsidRDefault="00966C88" w:rsidP="00966C88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bude mít k dispozici 1x 10/100/1000 Base-T port, RJ-45,</w:t>
      </w:r>
    </w:p>
    <w:p w14:paraId="241A1613" w14:textId="77777777" w:rsidR="00966C88" w:rsidRDefault="00966C88" w:rsidP="00966C88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musí podporovat vzdálené KVM, k serveru nebude připojen monitor, klávesnice, myš,</w:t>
      </w:r>
    </w:p>
    <w:p w14:paraId="17CD8BE1" w14:textId="77777777" w:rsidR="00966C88" w:rsidRDefault="00966C88" w:rsidP="00966C88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 serveru bude dodáno prohlášení o instalovaném SW a licencích.</w:t>
      </w:r>
    </w:p>
    <w:p w14:paraId="437BFA53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Instalace technologie nesmí generovat na straně Zadavatele vícenáklady. Pokud bude hrozit vznik vícenákladů, bude dodavatel před jejich vznikem osloven a bude mu navržen způsob jeho finanční spoluúčasti na těchto nákladech. </w:t>
      </w:r>
    </w:p>
    <w:p w14:paraId="063F15DA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 musí být dodána jako samostatně funkční celek, bude-li součástí dodávky </w:t>
      </w:r>
      <w:proofErr w:type="spellStart"/>
      <w:r w:rsidRPr="00B204AE">
        <w:rPr>
          <w:rFonts w:ascii="Calibri" w:eastAsia="Calibri" w:hAnsi="Calibri" w:cs="Calibri"/>
          <w:lang w:bidi="en-US"/>
        </w:rPr>
        <w:t>switch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, </w:t>
      </w:r>
      <w:proofErr w:type="spellStart"/>
      <w:r w:rsidRPr="00B204AE">
        <w:rPr>
          <w:rFonts w:ascii="Calibri" w:eastAsia="Calibri" w:hAnsi="Calibri" w:cs="Calibri"/>
          <w:lang w:bidi="en-US"/>
        </w:rPr>
        <w:t>router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atp</w:t>
      </w:r>
      <w:proofErr w:type="spellEnd"/>
      <w:r w:rsidRPr="00B204AE">
        <w:rPr>
          <w:rFonts w:ascii="Calibri" w:eastAsia="Calibri" w:hAnsi="Calibri" w:cs="Calibri"/>
          <w:lang w:bidi="en-US"/>
        </w:rPr>
        <w:t>, budou s předstihem před instalací přesně definovány jednotlivé požadavky na propojení (LAN, IS, vzdálená správa atp.)</w:t>
      </w:r>
      <w:r>
        <w:rPr>
          <w:rFonts w:ascii="Calibri" w:eastAsia="Calibri" w:hAnsi="Calibri" w:cs="Calibri"/>
          <w:lang w:bidi="en-US"/>
        </w:rPr>
        <w:t>.</w:t>
      </w:r>
    </w:p>
    <w:p w14:paraId="3D35FB8D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Pracovníci Zadavatele vyhodnotí veškeré požadavky IT dodavatele z pohledu kybernetické bezpečnosti. Vyhrazují si právo neumožnit komunikaci zastaralými, nebezpečnými, či jinak rizikovými protokoly. Zejména nesmí být použity protokoly přenášející data neautentizovaně či nešifrovaně. Použití protokolů Telnet, Server </w:t>
      </w:r>
      <w:proofErr w:type="spellStart"/>
      <w:r w:rsidRPr="00B204AE">
        <w:rPr>
          <w:rFonts w:ascii="Calibri" w:eastAsia="Calibri" w:hAnsi="Calibri" w:cs="Calibri"/>
          <w:lang w:bidi="en-US"/>
        </w:rPr>
        <w:t>Message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Block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(SMB, Samba, CIFS, Microsoft </w:t>
      </w:r>
      <w:proofErr w:type="spellStart"/>
      <w:r w:rsidRPr="00B204AE">
        <w:rPr>
          <w:rFonts w:ascii="Calibri" w:eastAsia="Calibri" w:hAnsi="Calibri" w:cs="Calibri"/>
          <w:lang w:bidi="en-US"/>
        </w:rPr>
        <w:t>file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sharing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, NTLM) a podobně je nepřípustné. Přenosy (“sdílení”) souborů lze řešit kupříkladu pomocí </w:t>
      </w:r>
      <w:proofErr w:type="spellStart"/>
      <w:r w:rsidRPr="00B204AE">
        <w:rPr>
          <w:rFonts w:ascii="Calibri" w:eastAsia="Calibri" w:hAnsi="Calibri" w:cs="Calibri"/>
          <w:lang w:bidi="en-US"/>
        </w:rPr>
        <w:t>OpenSSH</w:t>
      </w:r>
      <w:proofErr w:type="spellEnd"/>
      <w:r w:rsidRPr="00B204AE">
        <w:rPr>
          <w:rFonts w:ascii="Calibri" w:eastAsia="Calibri" w:hAnsi="Calibri" w:cs="Calibri"/>
          <w:lang w:bidi="en-US"/>
        </w:rPr>
        <w:t>, který je standardní součástí MS Windows.</w:t>
      </w:r>
    </w:p>
    <w:p w14:paraId="5B002245" w14:textId="77777777" w:rsidR="00966C88" w:rsidRDefault="00966C88" w:rsidP="00966C88">
      <w:pPr>
        <w:jc w:val="both"/>
        <w:rPr>
          <w:rFonts w:ascii="Calibri" w:hAnsi="Calibri" w:cs="Calibri"/>
        </w:rPr>
      </w:pPr>
    </w:p>
    <w:p w14:paraId="2F2F86F0" w14:textId="77777777" w:rsidR="00966C88" w:rsidRDefault="00966C88" w:rsidP="00966C8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součástí dodávky počítač (PC)</w:t>
      </w:r>
    </w:p>
    <w:p w14:paraId="4D585ECF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Musí být </w:t>
      </w:r>
      <w:r>
        <w:rPr>
          <w:rFonts w:ascii="Calibri" w:eastAsia="Calibri" w:hAnsi="Calibri" w:cs="Calibri"/>
          <w:lang w:bidi="en-US"/>
        </w:rPr>
        <w:t xml:space="preserve">minimálně 5 pracovních dní </w:t>
      </w:r>
      <w:r w:rsidRPr="00B204AE">
        <w:rPr>
          <w:rFonts w:ascii="Calibri" w:eastAsia="Calibri" w:hAnsi="Calibri" w:cs="Calibri"/>
          <w:lang w:bidi="en-US"/>
        </w:rPr>
        <w:t>předem domluvena jeho instalace s pracovníky OIT</w:t>
      </w:r>
      <w:r>
        <w:rPr>
          <w:rFonts w:ascii="Calibri" w:eastAsia="Calibri" w:hAnsi="Calibri" w:cs="Calibri"/>
          <w:lang w:bidi="en-US"/>
        </w:rPr>
        <w:t>.</w:t>
      </w:r>
    </w:p>
    <w:p w14:paraId="5239F8D3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Veškerý instalovaný SW musí být legální, plně zalicencován a licence převedena na Zadavatele</w:t>
      </w:r>
      <w:r>
        <w:rPr>
          <w:rFonts w:ascii="Calibri" w:eastAsia="Calibri" w:hAnsi="Calibri" w:cs="Calibri"/>
          <w:lang w:bidi="en-US"/>
        </w:rPr>
        <w:t>.</w:t>
      </w:r>
    </w:p>
    <w:p w14:paraId="40C9F994" w14:textId="77777777" w:rsidR="00966C88" w:rsidRDefault="00966C88" w:rsidP="00966C88">
      <w:pPr>
        <w:jc w:val="both"/>
        <w:rPr>
          <w:rFonts w:ascii="Calibri" w:hAnsi="Calibri" w:cs="Calibri"/>
          <w:u w:val="single"/>
        </w:rPr>
      </w:pPr>
    </w:p>
    <w:p w14:paraId="1F7868D3" w14:textId="77777777" w:rsidR="00966C88" w:rsidRDefault="00966C88" w:rsidP="00966C8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součástí dodávky SW</w:t>
      </w:r>
    </w:p>
    <w:p w14:paraId="695A3A1F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 doloží legálnost veškerého instalovaného SW.</w:t>
      </w:r>
    </w:p>
    <w:p w14:paraId="45749E70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 předávacím protokolu technologie bude instalovaný SW uveden, budou přiloženy potřebné licenční doklady</w:t>
      </w:r>
      <w:r>
        <w:rPr>
          <w:rFonts w:ascii="Calibri" w:eastAsia="Calibri" w:hAnsi="Calibri" w:cs="Calibri"/>
          <w:lang w:bidi="en-US"/>
        </w:rPr>
        <w:t>.</w:t>
      </w:r>
    </w:p>
    <w:p w14:paraId="25EF0D19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Dodavatel si na svoje náklady zajistí veškerý HW, potřebný pro běh tohoto SW. </w:t>
      </w:r>
    </w:p>
    <w:p w14:paraId="5ED64CD3" w14:textId="77777777" w:rsidR="00966C88" w:rsidRDefault="00966C88" w:rsidP="00966C88">
      <w:pPr>
        <w:jc w:val="both"/>
        <w:rPr>
          <w:rFonts w:ascii="Calibri" w:hAnsi="Calibri" w:cs="Calibri"/>
          <w:b/>
          <w:bCs/>
        </w:rPr>
      </w:pPr>
    </w:p>
    <w:p w14:paraId="5E4E2533" w14:textId="77777777" w:rsidR="00966C88" w:rsidRDefault="00966C88" w:rsidP="00966C8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dodavatelem požadováno připojení k počítačové síti LAN Nemocnice Znojmo</w:t>
      </w:r>
    </w:p>
    <w:p w14:paraId="76F5FA9A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Dodavateli bude poskytnuta 1x zásuvka LAN RJ-45, připojení technologie je možné metalickým kabelem, standard 100BASE-TX nebo 1000BASE-T. Jiné připojení možné po předchozí dohodě.</w:t>
      </w:r>
    </w:p>
    <w:p w14:paraId="559BE76C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 případě instalace v izolované el. </w:t>
      </w:r>
      <w:proofErr w:type="gramStart"/>
      <w:r w:rsidRPr="00B204AE">
        <w:rPr>
          <w:rFonts w:ascii="Calibri" w:eastAsia="Calibri" w:hAnsi="Calibri" w:cs="Calibri"/>
          <w:lang w:bidi="en-US"/>
        </w:rPr>
        <w:t>soustavě</w:t>
      </w:r>
      <w:proofErr w:type="gramEnd"/>
      <w:r w:rsidRPr="00B204AE">
        <w:rPr>
          <w:rFonts w:ascii="Calibri" w:eastAsia="Calibri" w:hAnsi="Calibri" w:cs="Calibri"/>
          <w:lang w:bidi="en-US"/>
        </w:rPr>
        <w:t xml:space="preserve"> může být požadované připojení optické.</w:t>
      </w:r>
    </w:p>
    <w:p w14:paraId="5909EF47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Pokud nebude v místě instalace zásuvka k dispozici, bude realizována pracovníky zadavatele po předchozí dohodě s dodavatelem, případně vzniklé náklady hradí dodavatel. </w:t>
      </w:r>
    </w:p>
    <w:p w14:paraId="6D2D56D9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Jiné připojení možné po předchozí dohodě.</w:t>
      </w:r>
    </w:p>
    <w:p w14:paraId="7F69BDC9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Zařízení dostane jednu vnitřní neveřejnou pevnou IP adresu nebo jednu neveřejnou dynamickou (DHCP) adresu</w:t>
      </w:r>
      <w:r>
        <w:rPr>
          <w:rFonts w:ascii="Calibri" w:eastAsia="Calibri" w:hAnsi="Calibri" w:cs="Calibri"/>
          <w:lang w:bidi="en-US"/>
        </w:rPr>
        <w:t>.</w:t>
      </w:r>
    </w:p>
    <w:p w14:paraId="16A2CB12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Komunikace výhradně protokolem IPv4, protokol IPv6 musí být vypnut</w:t>
      </w:r>
      <w:r>
        <w:rPr>
          <w:rFonts w:ascii="Calibri" w:eastAsia="Calibri" w:hAnsi="Calibri" w:cs="Calibri"/>
          <w:lang w:bidi="en-US"/>
        </w:rPr>
        <w:t>.</w:t>
      </w:r>
    </w:p>
    <w:p w14:paraId="7E553F89" w14:textId="77777777" w:rsidR="00966C88" w:rsidRDefault="00966C88" w:rsidP="00966C88">
      <w:pPr>
        <w:jc w:val="both"/>
        <w:rPr>
          <w:rFonts w:ascii="Calibri" w:hAnsi="Calibri" w:cs="Calibri"/>
        </w:rPr>
      </w:pPr>
    </w:p>
    <w:p w14:paraId="27736E58" w14:textId="77777777" w:rsidR="00966C88" w:rsidRDefault="00966C88" w:rsidP="00966C8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požadováno připojení k Informačním systémům nemocnice</w:t>
      </w:r>
    </w:p>
    <w:p w14:paraId="125CFE50" w14:textId="77777777" w:rsidR="00966C88" w:rsidRPr="000346B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0346BE">
        <w:rPr>
          <w:rFonts w:ascii="Calibri" w:eastAsia="Calibri" w:hAnsi="Calibri" w:cs="Calibri"/>
          <w:lang w:bidi="en-US"/>
        </w:rPr>
        <w:t>Musí být tato skutečnost sdělena pracovníkům OIT minimálně 1 měsíc dopředu z důvodu nutného zajištění vazeb případných dalších dodavatelů (např. komunikační protokol pro laboratoře, úprava NIS, napojení na PACS apod.).</w:t>
      </w:r>
    </w:p>
    <w:p w14:paraId="1494FC76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Musí být splněny podmínky připojení k</w:t>
      </w:r>
      <w:r>
        <w:rPr>
          <w:rFonts w:ascii="Calibri" w:eastAsia="Calibri" w:hAnsi="Calibri" w:cs="Calibri"/>
          <w:lang w:bidi="en-US"/>
        </w:rPr>
        <w:t> </w:t>
      </w:r>
      <w:r w:rsidRPr="00B204AE">
        <w:rPr>
          <w:rFonts w:ascii="Calibri" w:eastAsia="Calibri" w:hAnsi="Calibri" w:cs="Calibri"/>
          <w:lang w:bidi="en-US"/>
        </w:rPr>
        <w:t>LAN</w:t>
      </w:r>
      <w:r>
        <w:rPr>
          <w:rFonts w:ascii="Calibri" w:eastAsia="Calibri" w:hAnsi="Calibri" w:cs="Calibri"/>
          <w:lang w:bidi="en-US"/>
        </w:rPr>
        <w:t>.</w:t>
      </w:r>
    </w:p>
    <w:p w14:paraId="32A5F397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Náklady na připojení (licence, ovladače </w:t>
      </w:r>
      <w:proofErr w:type="spellStart"/>
      <w:r w:rsidRPr="00B204AE">
        <w:rPr>
          <w:rFonts w:ascii="Calibri" w:eastAsia="Calibri" w:hAnsi="Calibri" w:cs="Calibri"/>
          <w:lang w:bidi="en-US"/>
        </w:rPr>
        <w:t>atp</w:t>
      </w:r>
      <w:proofErr w:type="spellEnd"/>
      <w:r w:rsidRPr="00B204AE">
        <w:rPr>
          <w:rFonts w:ascii="Calibri" w:eastAsia="Calibri" w:hAnsi="Calibri" w:cs="Calibri"/>
          <w:lang w:bidi="en-US"/>
        </w:rPr>
        <w:t>) nese v plné výši dodavatel</w:t>
      </w:r>
      <w:r>
        <w:rPr>
          <w:rFonts w:ascii="Calibri" w:eastAsia="Calibri" w:hAnsi="Calibri" w:cs="Calibri"/>
          <w:lang w:bidi="en-US"/>
        </w:rPr>
        <w:t>.</w:t>
      </w:r>
    </w:p>
    <w:p w14:paraId="237EAE97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Vícenáklady, jež by vznikly na straně Zadavatele (např. nutná úprava NIS, LIS či PACS) hradí Dodavatel. Jedná se například o poplatek za připojení technologie do </w:t>
      </w:r>
      <w:proofErr w:type="spellStart"/>
      <w:r w:rsidRPr="00B204AE">
        <w:rPr>
          <w:rFonts w:ascii="Calibri" w:eastAsia="Calibri" w:hAnsi="Calibri" w:cs="Calibri"/>
          <w:lang w:bidi="en-US"/>
        </w:rPr>
        <w:t>informačího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systému, licence SW, potřebný HW, práce a podobně.</w:t>
      </w:r>
    </w:p>
    <w:p w14:paraId="4DFC9C50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Technologie, </w:t>
      </w:r>
      <w:proofErr w:type="spellStart"/>
      <w:r w:rsidRPr="00B204AE">
        <w:rPr>
          <w:rFonts w:ascii="Calibri" w:eastAsia="Calibri" w:hAnsi="Calibri" w:cs="Calibri"/>
          <w:lang w:bidi="en-US"/>
        </w:rPr>
        <w:t>respektivě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k PACS připojované zařízení, musí splňovat normu DICOM v3</w:t>
      </w:r>
      <w:r>
        <w:rPr>
          <w:rFonts w:ascii="Calibri" w:eastAsia="Calibri" w:hAnsi="Calibri" w:cs="Calibri"/>
          <w:lang w:bidi="en-US"/>
        </w:rPr>
        <w:t>.</w:t>
      </w:r>
    </w:p>
    <w:p w14:paraId="6F059183" w14:textId="77777777" w:rsidR="00966C88" w:rsidRDefault="00966C88" w:rsidP="00966C88">
      <w:pPr>
        <w:jc w:val="both"/>
        <w:rPr>
          <w:rFonts w:ascii="Calibri" w:hAnsi="Calibri" w:cs="Calibri"/>
        </w:rPr>
      </w:pPr>
    </w:p>
    <w:p w14:paraId="43AC305F" w14:textId="77777777" w:rsidR="00966C88" w:rsidRDefault="00966C88" w:rsidP="00966C8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dodavatelem požadována vzdálená správa, musí tato splňovat následující pravidla:</w:t>
      </w:r>
    </w:p>
    <w:p w14:paraId="3FC88800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Zařízení nebude mít přístup na Internet, s výjimkou umožnění vzdálené správy přes Internet</w:t>
      </w:r>
      <w:r>
        <w:rPr>
          <w:rFonts w:ascii="Calibri" w:eastAsia="Calibri" w:hAnsi="Calibri" w:cs="Calibri"/>
          <w:lang w:bidi="en-US"/>
        </w:rPr>
        <w:t>.</w:t>
      </w:r>
    </w:p>
    <w:p w14:paraId="0B163987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Vzdálená správa bude umožněna jen takovým způsobem, kdy TCP/IP spojení navazuje zařízení z vnitřní sítě Zadavatele (dále jen LAN)</w:t>
      </w:r>
      <w:r>
        <w:rPr>
          <w:rFonts w:ascii="Calibri" w:eastAsia="Calibri" w:hAnsi="Calibri" w:cs="Calibri"/>
          <w:lang w:bidi="en-US"/>
        </w:rPr>
        <w:t>.</w:t>
      </w:r>
    </w:p>
    <w:p w14:paraId="6EA99521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Navázání spojení bude z LAN umožněno jen na vybranou cílovou IP adresu, případně množinu adres (seznam adres dodá Dodavatel)</w:t>
      </w:r>
      <w:r>
        <w:rPr>
          <w:rFonts w:ascii="Calibri" w:eastAsia="Calibri" w:hAnsi="Calibri" w:cs="Calibri"/>
          <w:lang w:bidi="en-US"/>
        </w:rPr>
        <w:t>.</w:t>
      </w:r>
    </w:p>
    <w:p w14:paraId="7ACB0FD1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Navázání spojení bude z LAN umožněno jen na vybraný cílový port, případně množinu portů (seznam portů dodá Dodavatel)</w:t>
      </w:r>
      <w:r>
        <w:rPr>
          <w:rFonts w:ascii="Calibri" w:eastAsia="Calibri" w:hAnsi="Calibri" w:cs="Calibri"/>
          <w:lang w:bidi="en-US"/>
        </w:rPr>
        <w:t>.</w:t>
      </w:r>
    </w:p>
    <w:p w14:paraId="5B2AB671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Přístup na vzdálenou správu z LAN bude umožněn jen z vybrané IP adresy nebo konkrétní množiny adres</w:t>
      </w:r>
      <w:r>
        <w:rPr>
          <w:rFonts w:ascii="Calibri" w:eastAsia="Calibri" w:hAnsi="Calibri" w:cs="Calibri"/>
          <w:lang w:bidi="en-US"/>
        </w:rPr>
        <w:t>.</w:t>
      </w:r>
    </w:p>
    <w:p w14:paraId="10A5EE16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 případě použití systému </w:t>
      </w:r>
      <w:proofErr w:type="spellStart"/>
      <w:r w:rsidRPr="00B204AE">
        <w:rPr>
          <w:rFonts w:ascii="Calibri" w:eastAsia="Calibri" w:hAnsi="Calibri" w:cs="Calibri"/>
          <w:lang w:bidi="en-US"/>
        </w:rPr>
        <w:t>TeamViewer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je dodavatel povinen použít dvoufázovou autentizaci</w:t>
      </w:r>
      <w:r>
        <w:rPr>
          <w:rFonts w:ascii="Calibri" w:eastAsia="Calibri" w:hAnsi="Calibri" w:cs="Calibri"/>
          <w:lang w:bidi="en-US"/>
        </w:rPr>
        <w:t>.</w:t>
      </w:r>
    </w:p>
    <w:p w14:paraId="48AB7E16" w14:textId="77777777" w:rsidR="00966C88" w:rsidRPr="00B204AE" w:rsidRDefault="00966C88" w:rsidP="00966C88">
      <w:pPr>
        <w:pStyle w:val="Odstavecseseznamem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 je při používání vzdálené správy dodržovat pravidla GDPR, obecně platná pravidla kyberbezpečnosti a doporučení NÚKIB.</w:t>
      </w:r>
    </w:p>
    <w:p w14:paraId="17DB64F1" w14:textId="29B9A867" w:rsidR="00B4259E" w:rsidRDefault="00B4259E"/>
    <w:sectPr w:rsidR="00B4259E" w:rsidSect="00967697"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99763BF" w16cex:dateUtc="2024-04-24T18:48:00Z"/>
  <w16cex:commentExtensible w16cex:durableId="355EC4FC" w16cex:dateUtc="2024-04-24T11:26:00Z"/>
  <w16cex:commentExtensible w16cex:durableId="0E067E68" w16cex:dateUtc="2024-04-25T07:36:00Z"/>
  <w16cex:commentExtensible w16cex:durableId="6EADDF51" w16cex:dateUtc="2024-04-24T18:52:00Z"/>
  <w16cex:commentExtensible w16cex:durableId="66055F65" w16cex:dateUtc="2024-04-25T07:40:00Z"/>
  <w16cex:commentExtensible w16cex:durableId="3193D540" w16cex:dateUtc="2024-04-25T07:41:00Z"/>
  <w16cex:commentExtensible w16cex:durableId="2A754DEE" w16cex:dateUtc="2024-04-25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D7E52D" w16cid:durableId="799763BF"/>
  <w16cid:commentId w16cid:paraId="1C484FD1" w16cid:durableId="355EC4FC"/>
  <w16cid:commentId w16cid:paraId="362154DC" w16cid:durableId="0E067E68"/>
  <w16cid:commentId w16cid:paraId="466A394D" w16cid:durableId="6EADDF51"/>
  <w16cid:commentId w16cid:paraId="596078CA" w16cid:durableId="66055F65"/>
  <w16cid:commentId w16cid:paraId="382380D9" w16cid:durableId="3193D540"/>
  <w16cid:commentId w16cid:paraId="14896E3C" w16cid:durableId="2A754D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C11FC" w14:textId="77777777" w:rsidR="00965802" w:rsidRDefault="00965802">
      <w:pPr>
        <w:spacing w:after="0" w:line="240" w:lineRule="auto"/>
      </w:pPr>
      <w:r>
        <w:separator/>
      </w:r>
    </w:p>
  </w:endnote>
  <w:endnote w:type="continuationSeparator" w:id="0">
    <w:p w14:paraId="0139F3CD" w14:textId="77777777" w:rsidR="00965802" w:rsidRDefault="00965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E26DB" w14:textId="77777777" w:rsidR="002F517D" w:rsidRDefault="002F51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A101E" w14:textId="77777777" w:rsidR="00965802" w:rsidRDefault="00965802">
      <w:pPr>
        <w:spacing w:after="0" w:line="240" w:lineRule="auto"/>
      </w:pPr>
      <w:r>
        <w:separator/>
      </w:r>
    </w:p>
  </w:footnote>
  <w:footnote w:type="continuationSeparator" w:id="0">
    <w:p w14:paraId="585C3C41" w14:textId="77777777" w:rsidR="00965802" w:rsidRDefault="00965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2E"/>
    <w:multiLevelType w:val="multilevel"/>
    <w:tmpl w:val="EFF4FFC4"/>
    <w:lvl w:ilvl="0">
      <w:start w:val="1"/>
      <w:numFmt w:val="lowerLetter"/>
      <w:lvlText w:val="%1)"/>
      <w:lvlJc w:val="left"/>
      <w:pPr>
        <w:ind w:left="567"/>
      </w:pPr>
      <w:rPr>
        <w:rFonts w:ascii="Calibri" w:eastAsia="SimSun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220315"/>
    <w:multiLevelType w:val="hybridMultilevel"/>
    <w:tmpl w:val="FBD6DB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046AA7"/>
    <w:multiLevelType w:val="hybridMultilevel"/>
    <w:tmpl w:val="D9122EEA"/>
    <w:lvl w:ilvl="0" w:tplc="83F035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D8"/>
    <w:rsid w:val="00020F66"/>
    <w:rsid w:val="00100D02"/>
    <w:rsid w:val="001206D8"/>
    <w:rsid w:val="001B4ED5"/>
    <w:rsid w:val="002548DA"/>
    <w:rsid w:val="00265BA8"/>
    <w:rsid w:val="002852B3"/>
    <w:rsid w:val="00290524"/>
    <w:rsid w:val="002A3A08"/>
    <w:rsid w:val="002F517D"/>
    <w:rsid w:val="00311945"/>
    <w:rsid w:val="003E0C89"/>
    <w:rsid w:val="00477579"/>
    <w:rsid w:val="004F3797"/>
    <w:rsid w:val="00537A8C"/>
    <w:rsid w:val="00657B3F"/>
    <w:rsid w:val="006A6E8C"/>
    <w:rsid w:val="006B52D5"/>
    <w:rsid w:val="006F18D6"/>
    <w:rsid w:val="006F3E66"/>
    <w:rsid w:val="0070110F"/>
    <w:rsid w:val="007210B5"/>
    <w:rsid w:val="0074286E"/>
    <w:rsid w:val="007446F6"/>
    <w:rsid w:val="0078674A"/>
    <w:rsid w:val="00794A79"/>
    <w:rsid w:val="007B3D5E"/>
    <w:rsid w:val="007E40BC"/>
    <w:rsid w:val="007F26F2"/>
    <w:rsid w:val="0082665E"/>
    <w:rsid w:val="008571C2"/>
    <w:rsid w:val="008E613B"/>
    <w:rsid w:val="008F5347"/>
    <w:rsid w:val="008F7130"/>
    <w:rsid w:val="00965802"/>
    <w:rsid w:val="00966C88"/>
    <w:rsid w:val="00967697"/>
    <w:rsid w:val="00990640"/>
    <w:rsid w:val="009D6AA3"/>
    <w:rsid w:val="009F4844"/>
    <w:rsid w:val="00A0127C"/>
    <w:rsid w:val="00AC32C3"/>
    <w:rsid w:val="00AE310A"/>
    <w:rsid w:val="00B40DD6"/>
    <w:rsid w:val="00B4259E"/>
    <w:rsid w:val="00B512AE"/>
    <w:rsid w:val="00B810DF"/>
    <w:rsid w:val="00BC7A93"/>
    <w:rsid w:val="00BE3750"/>
    <w:rsid w:val="00BE6D23"/>
    <w:rsid w:val="00C633E2"/>
    <w:rsid w:val="00C71B0A"/>
    <w:rsid w:val="00CB6475"/>
    <w:rsid w:val="00D5013E"/>
    <w:rsid w:val="00D52693"/>
    <w:rsid w:val="00D907DB"/>
    <w:rsid w:val="00DA2D25"/>
    <w:rsid w:val="00DE0EAD"/>
    <w:rsid w:val="00DE2256"/>
    <w:rsid w:val="00E12619"/>
    <w:rsid w:val="00E208D4"/>
    <w:rsid w:val="00EA74E6"/>
    <w:rsid w:val="00EB3710"/>
    <w:rsid w:val="00EF0B16"/>
    <w:rsid w:val="00EF721F"/>
    <w:rsid w:val="00F4440D"/>
    <w:rsid w:val="00F8100E"/>
    <w:rsid w:val="00F92A1C"/>
    <w:rsid w:val="00FB3ED8"/>
    <w:rsid w:val="00FD2BC5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EB65"/>
  <w15:chartTrackingRefBased/>
  <w15:docId w15:val="{98F4D89C-4C78-4FD2-833D-A6E09D1A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10F"/>
    <w:pPr>
      <w:ind w:left="720"/>
      <w:contextualSpacing/>
    </w:pPr>
  </w:style>
  <w:style w:type="table" w:customStyle="1" w:styleId="TableGrid">
    <w:name w:val="TableGrid"/>
    <w:rsid w:val="006B52D5"/>
    <w:pPr>
      <w:spacing w:after="0" w:line="240" w:lineRule="auto"/>
    </w:pPr>
    <w:rPr>
      <w:rFonts w:eastAsiaTheme="minorEastAsia"/>
      <w:kern w:val="0"/>
      <w:lang w:eastAsia="cs-CZ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4259E"/>
    <w:rPr>
      <w:color w:val="0563C1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B425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B4259E"/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B4259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425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259E"/>
    <w:pPr>
      <w:spacing w:line="240" w:lineRule="auto"/>
    </w:pPr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4259E"/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347"/>
    <w:rPr>
      <w:rFonts w:asciiTheme="minorHAnsi" w:eastAsiaTheme="minorHAnsi" w:hAnsiTheme="minorHAnsi" w:cstheme="minorBidi"/>
      <w:b/>
      <w:bCs/>
      <w:color w:val="auto"/>
      <w:kern w:val="2"/>
      <w:lang w:eastAsia="en-US"/>
      <w14:ligatures w14:val="standardContextu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347"/>
    <w:rPr>
      <w:rFonts w:ascii="Calibri" w:eastAsia="Calibri" w:hAnsi="Calibri" w:cs="Calibri"/>
      <w:b/>
      <w:bCs/>
      <w:color w:val="000000"/>
      <w:kern w:val="0"/>
      <w:sz w:val="20"/>
      <w:szCs w:val="20"/>
      <w:lang w:eastAsia="cs-CZ"/>
      <w14:ligatures w14:val="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208D4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5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5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aktury@nemzn.cz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mailto:pavel.jajtner@nemzn.cz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2636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Kašpar, Mgr.</dc:creator>
  <cp:keywords/>
  <dc:description/>
  <cp:lastModifiedBy>František Patočka, Ing. MBA</cp:lastModifiedBy>
  <cp:revision>8</cp:revision>
  <cp:lastPrinted>2024-04-24T11:49:00Z</cp:lastPrinted>
  <dcterms:created xsi:type="dcterms:W3CDTF">2024-04-25T07:43:00Z</dcterms:created>
  <dcterms:modified xsi:type="dcterms:W3CDTF">2024-04-29T05:35:00Z</dcterms:modified>
</cp:coreProperties>
</file>